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CF4" w:rsidRPr="00931A61" w:rsidRDefault="00272CF4" w:rsidP="00272CF4">
      <w:bookmarkStart w:id="0" w:name="_GoBack"/>
      <w:bookmarkEnd w:id="0"/>
      <w:r>
        <w:t xml:space="preserve">The following provides a summary of progress in the first year to deliver the four-year priorities in Council Plan 2017-27.  It also provides a summary of the recommended changes to the Council Plan </w:t>
      </w:r>
      <w:proofErr w:type="gramStart"/>
      <w:r>
        <w:t>taking into account</w:t>
      </w:r>
      <w:proofErr w:type="gramEnd"/>
      <w:r>
        <w:t xml:space="preserve"> changes to our operating environment and outcomes from the development of our strategies and performance to date.  </w:t>
      </w:r>
    </w:p>
    <w:p w:rsidR="00D045A5" w:rsidRDefault="00D045A5" w:rsidP="004D04F4">
      <w:pPr>
        <w:pStyle w:val="Factsheetheader1"/>
      </w:pPr>
    </w:p>
    <w:p w:rsidR="008F32FA" w:rsidRDefault="00272CF4" w:rsidP="004D04F4">
      <w:pPr>
        <w:pStyle w:val="Factsheetheader1"/>
      </w:pPr>
      <w:r>
        <w:t>Direction</w:t>
      </w:r>
      <w:r w:rsidR="004D04F4">
        <w:t xml:space="preserve"> 1</w:t>
      </w:r>
      <w:r>
        <w:t xml:space="preserve">– We embrace difference, and people belong </w:t>
      </w:r>
    </w:p>
    <w:p w:rsidR="004D04F4" w:rsidRPr="004D04F4" w:rsidRDefault="00272CF4" w:rsidP="004D04F4">
      <w:pPr>
        <w:pStyle w:val="Factsheetheader2"/>
      </w:pPr>
      <w:r>
        <w:t xml:space="preserve">Which priorities have we completed to date? </w:t>
      </w:r>
    </w:p>
    <w:p w:rsidR="00272CF4" w:rsidRDefault="00272CF4" w:rsidP="00272CF4">
      <w:r w:rsidRPr="00AC528D">
        <w:rPr>
          <w:i/>
        </w:rPr>
        <w:t>Retain Council’s Access and Ageing Department Rainbow Tick accreditation to ensure LGBTIQ inclusive service delivery</w:t>
      </w:r>
      <w:r>
        <w:t xml:space="preserve"> – Reaccreditation obtained in 2017</w:t>
      </w:r>
    </w:p>
    <w:p w:rsidR="00272CF4" w:rsidRDefault="00272CF4" w:rsidP="00272CF4">
      <w:r w:rsidRPr="00AC528D">
        <w:rPr>
          <w:i/>
        </w:rPr>
        <w:t xml:space="preserve">Deliver new community spaces as part of the integrated </w:t>
      </w:r>
      <w:proofErr w:type="spellStart"/>
      <w:r w:rsidRPr="00AC528D">
        <w:rPr>
          <w:i/>
        </w:rPr>
        <w:t>Ferrars</w:t>
      </w:r>
      <w:proofErr w:type="spellEnd"/>
      <w:r w:rsidRPr="00AC528D">
        <w:rPr>
          <w:i/>
        </w:rPr>
        <w:t xml:space="preserve"> Street Education and Community Precinct at </w:t>
      </w:r>
      <w:proofErr w:type="spellStart"/>
      <w:r w:rsidRPr="00AC528D">
        <w:rPr>
          <w:i/>
        </w:rPr>
        <w:t>Fishermans</w:t>
      </w:r>
      <w:proofErr w:type="spellEnd"/>
      <w:r w:rsidRPr="00AC528D">
        <w:rPr>
          <w:i/>
        </w:rPr>
        <w:t xml:space="preserve"> Bend</w:t>
      </w:r>
      <w:r>
        <w:t xml:space="preserve"> -</w:t>
      </w:r>
      <w:r w:rsidRPr="00AC528D">
        <w:t xml:space="preserve"> </w:t>
      </w:r>
      <w:r>
        <w:t xml:space="preserve">South Melbourne Primary school opened on 30 January including Council’s multi-purpose rooms and Barring </w:t>
      </w:r>
      <w:proofErr w:type="spellStart"/>
      <w:r>
        <w:t>Dijnang</w:t>
      </w:r>
      <w:proofErr w:type="spellEnd"/>
      <w:r>
        <w:t xml:space="preserve"> Kindergarten, with the maternal child health service opening in February.</w:t>
      </w:r>
    </w:p>
    <w:p w:rsidR="00272CF4" w:rsidRDefault="00272CF4" w:rsidP="00272CF4"/>
    <w:p w:rsidR="00272CF4" w:rsidRPr="00272CF4" w:rsidRDefault="00272CF4" w:rsidP="00272CF4">
      <w:pPr>
        <w:pStyle w:val="Subtitle"/>
        <w:jc w:val="left"/>
        <w:rPr>
          <w:rFonts w:ascii="Arial" w:hAnsi="Arial" w:cs="Arial"/>
          <w:b/>
          <w:color w:val="auto"/>
          <w:sz w:val="32"/>
          <w:szCs w:val="32"/>
        </w:rPr>
      </w:pPr>
      <w:r w:rsidRPr="00272CF4">
        <w:rPr>
          <w:rFonts w:ascii="Arial" w:hAnsi="Arial" w:cs="Arial"/>
          <w:b/>
          <w:color w:val="auto"/>
          <w:sz w:val="32"/>
          <w:szCs w:val="32"/>
        </w:rPr>
        <w:t>What are we proposing to amend?</w:t>
      </w:r>
    </w:p>
    <w:p w:rsidR="00272CF4" w:rsidRPr="00272CF4" w:rsidRDefault="00272CF4" w:rsidP="00272CF4">
      <w:pPr>
        <w:tabs>
          <w:tab w:val="num" w:pos="1440"/>
        </w:tabs>
        <w:rPr>
          <w:b/>
          <w:sz w:val="24"/>
          <w:szCs w:val="24"/>
        </w:rPr>
      </w:pPr>
      <w:r w:rsidRPr="00272CF4">
        <w:rPr>
          <w:b/>
          <w:sz w:val="24"/>
          <w:szCs w:val="24"/>
        </w:rPr>
        <w:t>To priorities and key projects</w:t>
      </w:r>
    </w:p>
    <w:p w:rsidR="00272CF4" w:rsidRDefault="00272CF4" w:rsidP="00272CF4">
      <w:pPr>
        <w:tabs>
          <w:tab w:val="num" w:pos="1440"/>
        </w:tabs>
      </w:pPr>
      <w:r>
        <w:t>Under Outcome 1.2 - Modify Homelessness priority to indicate that a focus will be to review the Homelessness Action Strategy</w:t>
      </w:r>
    </w:p>
    <w:p w:rsidR="00272CF4" w:rsidRPr="000B3749" w:rsidRDefault="00272CF4" w:rsidP="00272CF4">
      <w:pPr>
        <w:tabs>
          <w:tab w:val="num" w:pos="1440"/>
        </w:tabs>
      </w:pPr>
      <w:r>
        <w:t xml:space="preserve">Under Outcome 1.3 -  </w:t>
      </w:r>
      <w:r w:rsidRPr="007800BE">
        <w:rPr>
          <w:bCs/>
        </w:rPr>
        <w:t>Move and update Access Plan priority and associated outcome (2.3 B) from Direction 2 to Direction 1</w:t>
      </w:r>
      <w:r>
        <w:rPr>
          <w:bCs/>
        </w:rPr>
        <w:t xml:space="preserve"> </w:t>
      </w:r>
    </w:p>
    <w:p w:rsidR="00272CF4" w:rsidRDefault="00272CF4" w:rsidP="00272CF4">
      <w:pPr>
        <w:tabs>
          <w:tab w:val="num" w:pos="1440"/>
        </w:tabs>
      </w:pPr>
      <w:r>
        <w:t>Under Outcome 1.4 -  Modify Reconciliation Action Plan to reflect that new plan was adopted in 2017</w:t>
      </w:r>
    </w:p>
    <w:p w:rsidR="00272CF4" w:rsidRDefault="00272CF4" w:rsidP="00272CF4">
      <w:pPr>
        <w:tabs>
          <w:tab w:val="num" w:pos="1440"/>
        </w:tabs>
      </w:pPr>
      <w:r>
        <w:t>Indicate completed priorities</w:t>
      </w:r>
    </w:p>
    <w:p w:rsidR="00272CF4" w:rsidRPr="00B76B28" w:rsidRDefault="00272CF4" w:rsidP="00272CF4">
      <w:pPr>
        <w:tabs>
          <w:tab w:val="num" w:pos="1440"/>
        </w:tabs>
      </w:pPr>
      <w:r w:rsidRPr="00B76B28">
        <w:t>Update proposed budget figures for key projects</w:t>
      </w:r>
    </w:p>
    <w:p w:rsidR="00272CF4" w:rsidRPr="000B3749" w:rsidRDefault="00272CF4" w:rsidP="00272CF4">
      <w:pPr>
        <w:tabs>
          <w:tab w:val="num" w:pos="1440"/>
        </w:tabs>
        <w:rPr>
          <w:i/>
        </w:rPr>
      </w:pPr>
      <w:r w:rsidRPr="000B3749">
        <w:rPr>
          <w:bCs/>
          <w:i/>
        </w:rPr>
        <w:t xml:space="preserve">To measures (Outcome and Services) </w:t>
      </w:r>
    </w:p>
    <w:p w:rsidR="00272CF4" w:rsidRPr="00E4752C" w:rsidRDefault="00272CF4" w:rsidP="00272CF4">
      <w:pPr>
        <w:numPr>
          <w:ilvl w:val="0"/>
          <w:numId w:val="1"/>
        </w:numPr>
        <w:tabs>
          <w:tab w:val="num" w:pos="1440"/>
        </w:tabs>
        <w:spacing w:line="300" w:lineRule="auto"/>
      </w:pPr>
      <w:r w:rsidRPr="00E4752C">
        <w:t xml:space="preserve">MCH service measures – </w:t>
      </w:r>
      <w:r>
        <w:t>modify target to reflect</w:t>
      </w:r>
      <w:r w:rsidRPr="00E4752C">
        <w:t xml:space="preserve"> benchmarking </w:t>
      </w:r>
      <w:r>
        <w:t xml:space="preserve">for </w:t>
      </w:r>
      <w:r w:rsidRPr="00E4752C">
        <w:t>participation</w:t>
      </w:r>
      <w:r>
        <w:t xml:space="preserve"> measures</w:t>
      </w:r>
      <w:r w:rsidRPr="00E4752C">
        <w:t xml:space="preserve"> and </w:t>
      </w:r>
      <w:r>
        <w:t>update costs</w:t>
      </w:r>
      <w:r w:rsidRPr="00E4752C">
        <w:t xml:space="preserve"> in line with budget.</w:t>
      </w:r>
    </w:p>
    <w:p w:rsidR="00272CF4" w:rsidRPr="00E4752C" w:rsidRDefault="00272CF4" w:rsidP="00272CF4">
      <w:pPr>
        <w:numPr>
          <w:ilvl w:val="0"/>
          <w:numId w:val="1"/>
        </w:numPr>
        <w:tabs>
          <w:tab w:val="num" w:pos="1440"/>
        </w:tabs>
        <w:spacing w:line="300" w:lineRule="auto"/>
      </w:pPr>
      <w:r w:rsidRPr="00E4752C">
        <w:lastRenderedPageBreak/>
        <w:t>Recreation –</w:t>
      </w:r>
      <w:r>
        <w:t xml:space="preserve">change </w:t>
      </w:r>
      <w:r w:rsidRPr="00E4752C">
        <w:t>participation measure to formal sports members per ca</w:t>
      </w:r>
      <w:r>
        <w:t>pita as measure of informal participation is challenging to measure.  Note that where data is available (</w:t>
      </w:r>
      <w:proofErr w:type="spellStart"/>
      <w:r>
        <w:t>eg</w:t>
      </w:r>
      <w:proofErr w:type="spellEnd"/>
      <w:r>
        <w:t xml:space="preserve"> through VicHealth surveys) we will monitor metrics related with daily exercise and provide this information through the CEO report when it is available (likely to be provided on an annual basis)</w:t>
      </w:r>
    </w:p>
    <w:p w:rsidR="00272CF4" w:rsidRDefault="00272CF4" w:rsidP="00272CF4">
      <w:pPr>
        <w:numPr>
          <w:ilvl w:val="0"/>
          <w:numId w:val="1"/>
        </w:numPr>
        <w:tabs>
          <w:tab w:val="num" w:pos="1440"/>
        </w:tabs>
        <w:spacing w:line="300" w:lineRule="auto"/>
      </w:pPr>
      <w:r w:rsidRPr="00C85993">
        <w:rPr>
          <w:bCs/>
        </w:rPr>
        <w:t xml:space="preserve">Housing – Changing housing </w:t>
      </w:r>
      <w:r>
        <w:rPr>
          <w:bCs/>
        </w:rPr>
        <w:t>s</w:t>
      </w:r>
      <w:r w:rsidRPr="00C85993">
        <w:rPr>
          <w:bCs/>
        </w:rPr>
        <w:t xml:space="preserve">ervice measure to specific Council facilitated units on Council land (aligned with the In Your Backyard Strategy) </w:t>
      </w:r>
      <w:r w:rsidRPr="00C85993">
        <w:rPr>
          <w:color w:val="5B9BD5" w:themeColor="accent1"/>
        </w:rPr>
        <w:t>-</w:t>
      </w:r>
      <w:r w:rsidRPr="00C85993">
        <w:t xml:space="preserve"> </w:t>
      </w:r>
      <w:r>
        <w:t>Note that total houses will be monitored at the outcome level to monitor the overall level of affordable housing across the municipality and to support advocacy efforts.</w:t>
      </w:r>
    </w:p>
    <w:p w:rsidR="00272CF4" w:rsidRDefault="00272CF4" w:rsidP="00272CF4">
      <w:pPr>
        <w:numPr>
          <w:ilvl w:val="0"/>
          <w:numId w:val="1"/>
        </w:numPr>
        <w:tabs>
          <w:tab w:val="num" w:pos="1440"/>
        </w:tabs>
        <w:spacing w:line="300" w:lineRule="auto"/>
      </w:pPr>
      <w:r w:rsidRPr="00C85993">
        <w:rPr>
          <w:bCs/>
        </w:rPr>
        <w:t xml:space="preserve">Family, youth and children – Update wording to specify measurement </w:t>
      </w:r>
      <w:r>
        <w:rPr>
          <w:bCs/>
        </w:rPr>
        <w:t>relates to</w:t>
      </w:r>
      <w:r w:rsidRPr="00C85993">
        <w:rPr>
          <w:bCs/>
        </w:rPr>
        <w:t xml:space="preserve"> Council </w:t>
      </w:r>
      <w:r>
        <w:rPr>
          <w:bCs/>
        </w:rPr>
        <w:t xml:space="preserve">provided </w:t>
      </w:r>
      <w:r w:rsidRPr="00C85993">
        <w:rPr>
          <w:bCs/>
        </w:rPr>
        <w:t xml:space="preserve">services </w:t>
      </w:r>
    </w:p>
    <w:p w:rsidR="00272CF4" w:rsidRDefault="00272CF4" w:rsidP="00272CF4"/>
    <w:p w:rsidR="0011519C" w:rsidRPr="008F32FA" w:rsidRDefault="0011519C" w:rsidP="00272CF4"/>
    <w:sectPr w:rsidR="0011519C" w:rsidRPr="008F32FA" w:rsidSect="007258CF">
      <w:headerReference w:type="default" r:id="rId7"/>
      <w:pgSz w:w="11906" w:h="16838"/>
      <w:pgMar w:top="3969"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278" w:rsidRDefault="00C52278" w:rsidP="004D04F4">
      <w:r>
        <w:separator/>
      </w:r>
    </w:p>
  </w:endnote>
  <w:endnote w:type="continuationSeparator" w:id="0">
    <w:p w:rsidR="00C52278" w:rsidRDefault="00C52278" w:rsidP="004D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278" w:rsidRDefault="00C52278" w:rsidP="004D04F4">
      <w:r>
        <w:separator/>
      </w:r>
    </w:p>
  </w:footnote>
  <w:footnote w:type="continuationSeparator" w:id="0">
    <w:p w:rsidR="00C52278" w:rsidRDefault="00C52278" w:rsidP="004D0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278" w:rsidRDefault="007258CF" w:rsidP="004D04F4">
    <w:r>
      <w:rPr>
        <w:noProof/>
        <w:lang w:eastAsia="en-AU"/>
      </w:rPr>
      <mc:AlternateContent>
        <mc:Choice Requires="wps">
          <w:drawing>
            <wp:anchor distT="45720" distB="45720" distL="114300" distR="114300" simplePos="0" relativeHeight="251660288" behindDoc="0" locked="1" layoutInCell="1" allowOverlap="1">
              <wp:simplePos x="0" y="0"/>
              <wp:positionH relativeFrom="margin">
                <wp:align>left</wp:align>
              </wp:positionH>
              <wp:positionV relativeFrom="page">
                <wp:posOffset>612140</wp:posOffset>
              </wp:positionV>
              <wp:extent cx="4708525" cy="713105"/>
              <wp:effectExtent l="0" t="0" r="0"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8525" cy="713105"/>
                      </a:xfrm>
                      <a:prstGeom prst="rect">
                        <a:avLst/>
                      </a:prstGeom>
                      <a:noFill/>
                      <a:ln w="9525">
                        <a:noFill/>
                        <a:miter lim="800000"/>
                        <a:headEnd/>
                        <a:tailEnd/>
                      </a:ln>
                    </wps:spPr>
                    <wps:txbx>
                      <w:txbxContent>
                        <w:p w:rsidR="007258CF" w:rsidRPr="007258CF" w:rsidRDefault="00272CF4" w:rsidP="007258CF">
                          <w:pPr>
                            <w:pStyle w:val="Title1"/>
                          </w:pPr>
                          <w:r>
                            <w:t>Review of Council Plan Summary</w:t>
                          </w:r>
                        </w:p>
                        <w:p w:rsidR="007258CF" w:rsidRPr="007258CF" w:rsidRDefault="00272CF4" w:rsidP="007258CF">
                          <w:pPr>
                            <w:pStyle w:val="Title2"/>
                          </w:pPr>
                          <w:r>
                            <w:t>Direction 1 – We embrace difference, and people belong</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48.2pt;width:370.75pt;height:56.15pt;z-index:251660288;visibility:visible;mso-wrap-style:square;mso-width-percent:0;mso-height-percent:200;mso-wrap-distance-left:9pt;mso-wrap-distance-top:3.6pt;mso-wrap-distance-right:9pt;mso-wrap-distance-bottom:3.6pt;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" filled="f" stroked="f">
              <v:textbox style="mso-fit-shape-to-text:t" inset="0,0,0,0">
                <w:txbxContent>
                  <w:p w:rsidR="007258CF" w:rsidRPr="007258CF" w:rsidRDefault="00272CF4" w:rsidP="007258CF">
                    <w:pPr>
                      <w:pStyle w:val="Title1"/>
                    </w:pPr>
                    <w:r>
                      <w:t>Review of Council Plan Summary</w:t>
                    </w:r>
                  </w:p>
                  <w:p w:rsidR="007258CF" w:rsidRPr="007258CF" w:rsidRDefault="00272CF4" w:rsidP="007258CF">
                    <w:pPr>
                      <w:pStyle w:val="Title2"/>
                    </w:pPr>
                    <w:r>
                      <w:t>Direction 1 – We embrace difference, and people belong</w:t>
                    </w:r>
                  </w:p>
                </w:txbxContent>
              </v:textbox>
              <w10:wrap type="square" anchorx="margin" anchory="page"/>
              <w10:anchorlock/>
            </v:shape>
          </w:pict>
        </mc:Fallback>
      </mc:AlternateContent>
    </w:r>
    <w:r w:rsidR="00C52278">
      <w:rPr>
        <w:noProof/>
        <w:lang w:eastAsia="en-AU"/>
      </w:rPr>
      <w:drawing>
        <wp:anchor distT="0" distB="0" distL="114300" distR="114300" simplePos="0" relativeHeight="251658240" behindDoc="1" locked="1" layoutInCell="1" allowOverlap="1">
          <wp:simplePos x="0" y="0"/>
          <wp:positionH relativeFrom="page">
            <wp:align>left</wp:align>
          </wp:positionH>
          <wp:positionV relativeFrom="page">
            <wp:posOffset>15240</wp:posOffset>
          </wp:positionV>
          <wp:extent cx="7557135" cy="2050415"/>
          <wp:effectExtent l="0" t="0" r="5715" b="6985"/>
          <wp:wrapNone/>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P_MEDIA-RELEASE_0717.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57135" cy="20504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432FC3"/>
    <w:multiLevelType w:val="hybridMultilevel"/>
    <w:tmpl w:val="1D8CF926"/>
    <w:lvl w:ilvl="0" w:tplc="B5726E04">
      <w:start w:val="1"/>
      <w:numFmt w:val="bullet"/>
      <w:lvlText w:val="•"/>
      <w:lvlJc w:val="left"/>
      <w:pPr>
        <w:tabs>
          <w:tab w:val="num" w:pos="360"/>
        </w:tabs>
        <w:ind w:left="360" w:hanging="360"/>
      </w:pPr>
      <w:rPr>
        <w:rFonts w:ascii="Arial" w:hAnsi="Arial" w:hint="default"/>
      </w:rPr>
    </w:lvl>
    <w:lvl w:ilvl="1" w:tplc="0602E9B2" w:tentative="1">
      <w:start w:val="1"/>
      <w:numFmt w:val="bullet"/>
      <w:lvlText w:val="•"/>
      <w:lvlJc w:val="left"/>
      <w:pPr>
        <w:tabs>
          <w:tab w:val="num" w:pos="1080"/>
        </w:tabs>
        <w:ind w:left="1080" w:hanging="360"/>
      </w:pPr>
      <w:rPr>
        <w:rFonts w:ascii="Arial" w:hAnsi="Arial" w:hint="default"/>
      </w:rPr>
    </w:lvl>
    <w:lvl w:ilvl="2" w:tplc="FA9E161A" w:tentative="1">
      <w:start w:val="1"/>
      <w:numFmt w:val="bullet"/>
      <w:lvlText w:val="•"/>
      <w:lvlJc w:val="left"/>
      <w:pPr>
        <w:tabs>
          <w:tab w:val="num" w:pos="1800"/>
        </w:tabs>
        <w:ind w:left="1800" w:hanging="360"/>
      </w:pPr>
      <w:rPr>
        <w:rFonts w:ascii="Arial" w:hAnsi="Arial" w:hint="default"/>
      </w:rPr>
    </w:lvl>
    <w:lvl w:ilvl="3" w:tplc="69ECFBCC" w:tentative="1">
      <w:start w:val="1"/>
      <w:numFmt w:val="bullet"/>
      <w:lvlText w:val="•"/>
      <w:lvlJc w:val="left"/>
      <w:pPr>
        <w:tabs>
          <w:tab w:val="num" w:pos="2520"/>
        </w:tabs>
        <w:ind w:left="2520" w:hanging="360"/>
      </w:pPr>
      <w:rPr>
        <w:rFonts w:ascii="Arial" w:hAnsi="Arial" w:hint="default"/>
      </w:rPr>
    </w:lvl>
    <w:lvl w:ilvl="4" w:tplc="6F66FAAE" w:tentative="1">
      <w:start w:val="1"/>
      <w:numFmt w:val="bullet"/>
      <w:lvlText w:val="•"/>
      <w:lvlJc w:val="left"/>
      <w:pPr>
        <w:tabs>
          <w:tab w:val="num" w:pos="3240"/>
        </w:tabs>
        <w:ind w:left="3240" w:hanging="360"/>
      </w:pPr>
      <w:rPr>
        <w:rFonts w:ascii="Arial" w:hAnsi="Arial" w:hint="default"/>
      </w:rPr>
    </w:lvl>
    <w:lvl w:ilvl="5" w:tplc="7A68432A" w:tentative="1">
      <w:start w:val="1"/>
      <w:numFmt w:val="bullet"/>
      <w:lvlText w:val="•"/>
      <w:lvlJc w:val="left"/>
      <w:pPr>
        <w:tabs>
          <w:tab w:val="num" w:pos="3960"/>
        </w:tabs>
        <w:ind w:left="3960" w:hanging="360"/>
      </w:pPr>
      <w:rPr>
        <w:rFonts w:ascii="Arial" w:hAnsi="Arial" w:hint="default"/>
      </w:rPr>
    </w:lvl>
    <w:lvl w:ilvl="6" w:tplc="F1FE26BA" w:tentative="1">
      <w:start w:val="1"/>
      <w:numFmt w:val="bullet"/>
      <w:lvlText w:val="•"/>
      <w:lvlJc w:val="left"/>
      <w:pPr>
        <w:tabs>
          <w:tab w:val="num" w:pos="4680"/>
        </w:tabs>
        <w:ind w:left="4680" w:hanging="360"/>
      </w:pPr>
      <w:rPr>
        <w:rFonts w:ascii="Arial" w:hAnsi="Arial" w:hint="default"/>
      </w:rPr>
    </w:lvl>
    <w:lvl w:ilvl="7" w:tplc="269468A4" w:tentative="1">
      <w:start w:val="1"/>
      <w:numFmt w:val="bullet"/>
      <w:lvlText w:val="•"/>
      <w:lvlJc w:val="left"/>
      <w:pPr>
        <w:tabs>
          <w:tab w:val="num" w:pos="5400"/>
        </w:tabs>
        <w:ind w:left="5400" w:hanging="360"/>
      </w:pPr>
      <w:rPr>
        <w:rFonts w:ascii="Arial" w:hAnsi="Arial" w:hint="default"/>
      </w:rPr>
    </w:lvl>
    <w:lvl w:ilvl="8" w:tplc="C7E6372E" w:tentative="1">
      <w:start w:val="1"/>
      <w:numFmt w:val="bullet"/>
      <w:lvlText w:val="•"/>
      <w:lvlJc w:val="left"/>
      <w:pPr>
        <w:tabs>
          <w:tab w:val="num" w:pos="6120"/>
        </w:tabs>
        <w:ind w:left="612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278"/>
    <w:rsid w:val="0011519C"/>
    <w:rsid w:val="00142366"/>
    <w:rsid w:val="001F2780"/>
    <w:rsid w:val="0026397D"/>
    <w:rsid w:val="00272CF4"/>
    <w:rsid w:val="002D35F3"/>
    <w:rsid w:val="004D04F4"/>
    <w:rsid w:val="0054748F"/>
    <w:rsid w:val="006359CE"/>
    <w:rsid w:val="007258CF"/>
    <w:rsid w:val="00876819"/>
    <w:rsid w:val="008F32FA"/>
    <w:rsid w:val="00C52278"/>
    <w:rsid w:val="00D045A5"/>
    <w:rsid w:val="00F333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FC5182ED-C914-4CA0-8432-60D2D34D5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w:qFormat/>
    <w:rsid w:val="004D04F4"/>
    <w:rPr>
      <w:rFonts w:ascii="Arial" w:hAnsi="Arial" w:cs="Arial"/>
    </w:rPr>
  </w:style>
  <w:style w:type="paragraph" w:styleId="Heading1">
    <w:name w:val="heading 1"/>
    <w:basedOn w:val="Normal"/>
    <w:next w:val="Normal"/>
    <w:link w:val="Heading1Char"/>
    <w:uiPriority w:val="9"/>
    <w:rsid w:val="00F333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27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780"/>
    <w:rPr>
      <w:rFonts w:ascii="Arial" w:hAnsi="Arial" w:cs="Arial"/>
    </w:rPr>
  </w:style>
  <w:style w:type="paragraph" w:styleId="Footer">
    <w:name w:val="footer"/>
    <w:basedOn w:val="Normal"/>
    <w:link w:val="FooterChar"/>
    <w:uiPriority w:val="99"/>
    <w:unhideWhenUsed/>
    <w:rsid w:val="001F27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780"/>
    <w:rPr>
      <w:rFonts w:ascii="Arial" w:hAnsi="Arial" w:cs="Arial"/>
    </w:rPr>
  </w:style>
  <w:style w:type="paragraph" w:customStyle="1" w:styleId="Mediareleasedate">
    <w:name w:val="Media release date"/>
    <w:basedOn w:val="Normal"/>
    <w:link w:val="MediareleasedateChar"/>
    <w:rsid w:val="008F32FA"/>
    <w:rPr>
      <w:sz w:val="28"/>
      <w:szCs w:val="28"/>
    </w:rPr>
  </w:style>
  <w:style w:type="paragraph" w:customStyle="1" w:styleId="Factsheetheader1">
    <w:name w:val="Fact sheet header 1"/>
    <w:basedOn w:val="Normal"/>
    <w:link w:val="Factsheetheader1Char"/>
    <w:qFormat/>
    <w:rsid w:val="004D04F4"/>
    <w:rPr>
      <w:color w:val="0090A3"/>
      <w:sz w:val="48"/>
      <w:szCs w:val="48"/>
    </w:rPr>
  </w:style>
  <w:style w:type="character" w:customStyle="1" w:styleId="MediareleasedateChar">
    <w:name w:val="Media release date Char"/>
    <w:basedOn w:val="DefaultParagraphFont"/>
    <w:link w:val="Mediareleasedate"/>
    <w:rsid w:val="008F32FA"/>
    <w:rPr>
      <w:rFonts w:ascii="Arial" w:hAnsi="Arial" w:cs="Arial"/>
      <w:sz w:val="28"/>
      <w:szCs w:val="28"/>
    </w:rPr>
  </w:style>
  <w:style w:type="character" w:customStyle="1" w:styleId="Heading1Char">
    <w:name w:val="Heading 1 Char"/>
    <w:basedOn w:val="DefaultParagraphFont"/>
    <w:link w:val="Heading1"/>
    <w:uiPriority w:val="9"/>
    <w:rsid w:val="00F33395"/>
    <w:rPr>
      <w:rFonts w:asciiTheme="majorHAnsi" w:eastAsiaTheme="majorEastAsia" w:hAnsiTheme="majorHAnsi" w:cstheme="majorBidi"/>
      <w:color w:val="2E74B5" w:themeColor="accent1" w:themeShade="BF"/>
      <w:sz w:val="32"/>
      <w:szCs w:val="32"/>
    </w:rPr>
  </w:style>
  <w:style w:type="character" w:customStyle="1" w:styleId="Factsheetheader1Char">
    <w:name w:val="Fact sheet header 1 Char"/>
    <w:basedOn w:val="DefaultParagraphFont"/>
    <w:link w:val="Factsheetheader1"/>
    <w:rsid w:val="004D04F4"/>
    <w:rPr>
      <w:rFonts w:ascii="Arial" w:hAnsi="Arial" w:cs="Arial"/>
      <w:color w:val="0090A3"/>
      <w:sz w:val="48"/>
      <w:szCs w:val="48"/>
    </w:rPr>
  </w:style>
  <w:style w:type="character" w:styleId="BookTitle">
    <w:name w:val="Book Title"/>
    <w:basedOn w:val="DefaultParagraphFont"/>
    <w:uiPriority w:val="33"/>
    <w:rsid w:val="00F33395"/>
    <w:rPr>
      <w:b/>
      <w:bCs/>
      <w:i/>
      <w:iCs/>
      <w:spacing w:val="5"/>
    </w:rPr>
  </w:style>
  <w:style w:type="paragraph" w:customStyle="1" w:styleId="Factsheetheader2">
    <w:name w:val="Fact sheet header 2"/>
    <w:basedOn w:val="Factsheetheader1"/>
    <w:qFormat/>
    <w:rsid w:val="004D04F4"/>
    <w:rPr>
      <w:b/>
      <w:color w:val="000000" w:themeColor="text1"/>
      <w:sz w:val="32"/>
      <w:szCs w:val="32"/>
    </w:rPr>
  </w:style>
  <w:style w:type="paragraph" w:customStyle="1" w:styleId="BodyBold">
    <w:name w:val="Body Bold"/>
    <w:basedOn w:val="Normal"/>
    <w:qFormat/>
    <w:rsid w:val="004D04F4"/>
    <w:rPr>
      <w:b/>
    </w:rPr>
  </w:style>
  <w:style w:type="paragraph" w:customStyle="1" w:styleId="Title1">
    <w:name w:val="Title 1"/>
    <w:basedOn w:val="Factsheetheader1"/>
    <w:qFormat/>
    <w:rsid w:val="007258CF"/>
    <w:pPr>
      <w:spacing w:after="120" w:line="240" w:lineRule="auto"/>
    </w:pPr>
    <w:rPr>
      <w:color w:val="FFFFFF" w:themeColor="background1"/>
    </w:rPr>
  </w:style>
  <w:style w:type="paragraph" w:customStyle="1" w:styleId="Title2">
    <w:name w:val="Title 2"/>
    <w:basedOn w:val="Factsheetheader2"/>
    <w:qFormat/>
    <w:rsid w:val="007258CF"/>
    <w:rPr>
      <w:b w:val="0"/>
      <w:color w:val="FFFFFF" w:themeColor="background1"/>
    </w:rPr>
  </w:style>
  <w:style w:type="paragraph" w:styleId="Subtitle">
    <w:name w:val="Subtitle"/>
    <w:basedOn w:val="Normal"/>
    <w:next w:val="Normal"/>
    <w:link w:val="SubtitleChar"/>
    <w:uiPriority w:val="11"/>
    <w:qFormat/>
    <w:rsid w:val="00272CF4"/>
    <w:pPr>
      <w:numPr>
        <w:ilvl w:val="1"/>
      </w:numPr>
      <w:spacing w:line="300" w:lineRule="auto"/>
      <w:jc w:val="center"/>
    </w:pPr>
    <w:rPr>
      <w:rFonts w:asciiTheme="minorHAnsi" w:eastAsiaTheme="minorEastAsia" w:hAnsiTheme="minorHAnsi" w:cstheme="minorBidi"/>
      <w:color w:val="44546A" w:themeColor="text2"/>
      <w:sz w:val="28"/>
      <w:szCs w:val="28"/>
    </w:rPr>
  </w:style>
  <w:style w:type="character" w:customStyle="1" w:styleId="SubtitleChar">
    <w:name w:val="Subtitle Char"/>
    <w:basedOn w:val="DefaultParagraphFont"/>
    <w:link w:val="Subtitle"/>
    <w:uiPriority w:val="11"/>
    <w:rsid w:val="00272CF4"/>
    <w:rPr>
      <w:rFonts w:eastAsiaTheme="minorEastAsia"/>
      <w:color w:val="44546A" w:themeColor="text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http://www.portphillip.vic.gov.au/media_releas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350</Words>
  <Characters>1995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Rosser</dc:creator>
  <cp:keywords/>
  <dc:description/>
  <cp:lastModifiedBy>Sharon Prince</cp:lastModifiedBy>
  <cp:revision>2</cp:revision>
  <cp:lastPrinted>2017-07-14T01:53:00Z</cp:lastPrinted>
  <dcterms:created xsi:type="dcterms:W3CDTF">2018-04-16T06:23:00Z</dcterms:created>
  <dcterms:modified xsi:type="dcterms:W3CDTF">2018-04-16T06:23:00Z</dcterms:modified>
</cp:coreProperties>
</file>