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682D5AA" w14:textId="04AE75C4" w:rsidR="00EB66B6" w:rsidRPr="00A02A70" w:rsidRDefault="00EB66B6" w:rsidP="000C26AB">
      <w:pPr>
        <w:pStyle w:val="Cover-Projectname"/>
        <w:rPr>
          <w:color w:val="002060"/>
          <w:sz w:val="56"/>
          <w:szCs w:val="56"/>
        </w:rPr>
      </w:pPr>
      <w:r w:rsidRPr="00A02A70">
        <w:rPr>
          <w:noProof/>
          <w:color w:val="002060"/>
          <w:sz w:val="56"/>
          <w:szCs w:val="56"/>
          <w:lang w:eastAsia="en-AU"/>
        </w:rPr>
        <mc:AlternateContent>
          <mc:Choice Requires="wps">
            <w:drawing>
              <wp:anchor distT="0" distB="0" distL="114300" distR="114300" simplePos="0" relativeHeight="251658752" behindDoc="0" locked="0" layoutInCell="1" allowOverlap="1" wp14:anchorId="52B301AD" wp14:editId="385424E3">
                <wp:simplePos x="0" y="0"/>
                <wp:positionH relativeFrom="column">
                  <wp:posOffset>2101215</wp:posOffset>
                </wp:positionH>
                <wp:positionV relativeFrom="paragraph">
                  <wp:posOffset>91440</wp:posOffset>
                </wp:positionV>
                <wp:extent cx="4038600" cy="0"/>
                <wp:effectExtent l="0" t="95250" r="38100" b="95250"/>
                <wp:wrapNone/>
                <wp:docPr id="1" name="Straight Connector 1"/>
                <wp:cNvGraphicFramePr/>
                <a:graphic xmlns:a="http://schemas.openxmlformats.org/drawingml/2006/main">
                  <a:graphicData uri="http://schemas.microsoft.com/office/word/2010/wordprocessingShape">
                    <wps:wsp>
                      <wps:cNvCnPr/>
                      <wps:spPr>
                        <a:xfrm>
                          <a:off x="0" y="0"/>
                          <a:ext cx="4038600" cy="0"/>
                        </a:xfrm>
                        <a:prstGeom prst="line">
                          <a:avLst/>
                        </a:prstGeom>
                        <a:ln w="190500">
                          <a:solidFill>
                            <a:srgbClr val="002E6E"/>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7828B89" id="Straight Connector 1" o:spid="_x0000_s1026" style="position:absolute;z-index:251658752;visibility:visible;mso-wrap-style:square;mso-wrap-distance-left:9pt;mso-wrap-distance-top:0;mso-wrap-distance-right:9pt;mso-wrap-distance-bottom:0;mso-position-horizontal:absolute;mso-position-horizontal-relative:text;mso-position-vertical:absolute;mso-position-vertical-relative:text" from="165.45pt,7.2pt" to="483.45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" strokecolor="#002e6e" strokeweight="15pt"/>
            </w:pict>
          </mc:Fallback>
        </mc:AlternateContent>
      </w:r>
      <w:r w:rsidR="001A427A" w:rsidRPr="00A02A70">
        <w:rPr>
          <w:noProof/>
          <w:color w:val="002060"/>
          <w:sz w:val="56"/>
          <w:szCs w:val="56"/>
          <w:lang w:eastAsia="en-AU"/>
        </w:rPr>
        <mc:AlternateContent>
          <mc:Choice Requires="wps">
            <w:drawing>
              <wp:anchor distT="0" distB="0" distL="114300" distR="114300" simplePos="0" relativeHeight="251660800" behindDoc="0" locked="0" layoutInCell="1" allowOverlap="1" wp14:anchorId="0F17E68B" wp14:editId="22F42050">
                <wp:simplePos x="0" y="0"/>
                <wp:positionH relativeFrom="column">
                  <wp:posOffset>2095500</wp:posOffset>
                </wp:positionH>
                <wp:positionV relativeFrom="paragraph">
                  <wp:posOffset>1146810</wp:posOffset>
                </wp:positionV>
                <wp:extent cx="4038600" cy="0"/>
                <wp:effectExtent l="0" t="0" r="19050" b="19050"/>
                <wp:wrapNone/>
                <wp:docPr id="2" name="Straight Connector 2"/>
                <wp:cNvGraphicFramePr/>
                <a:graphic xmlns:a="http://schemas.openxmlformats.org/drawingml/2006/main">
                  <a:graphicData uri="http://schemas.microsoft.com/office/word/2010/wordprocessingShape">
                    <wps:wsp>
                      <wps:cNvCnPr/>
                      <wps:spPr>
                        <a:xfrm>
                          <a:off x="0" y="0"/>
                          <a:ext cx="4038600" cy="0"/>
                        </a:xfrm>
                        <a:prstGeom prst="line">
                          <a:avLst/>
                        </a:prstGeom>
                        <a:ln w="3175">
                          <a:solidFill>
                            <a:srgbClr val="002E6E"/>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4050796" id="Straight Connector 2" o:spid="_x0000_s1026" style="position:absolute;z-index:251660800;visibility:visible;mso-wrap-style:square;mso-wrap-distance-left:9pt;mso-wrap-distance-top:0;mso-wrap-distance-right:9pt;mso-wrap-distance-bottom:0;mso-position-horizontal:absolute;mso-position-horizontal-relative:text;mso-position-vertical:absolute;mso-position-vertical-relative:text" from="165pt,90.3pt" to="483pt,9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" strokecolor="#002e6e" strokeweight=".25pt"/>
            </w:pict>
          </mc:Fallback>
        </mc:AlternateContent>
      </w:r>
      <w:r w:rsidR="006C6EA9" w:rsidRPr="00A02A70">
        <w:rPr>
          <w:color w:val="002060"/>
          <w:sz w:val="56"/>
          <w:szCs w:val="56"/>
        </w:rPr>
        <w:t>Port Phillip Heritage Program</w:t>
      </w:r>
      <w:r w:rsidR="00A02A70">
        <w:rPr>
          <w:color w:val="002060"/>
          <w:sz w:val="56"/>
          <w:szCs w:val="56"/>
        </w:rPr>
        <w:t xml:space="preserve"> – </w:t>
      </w:r>
      <w:r w:rsidR="006C6EA9" w:rsidRPr="00A02A70">
        <w:rPr>
          <w:color w:val="002060"/>
          <w:sz w:val="56"/>
          <w:szCs w:val="56"/>
        </w:rPr>
        <w:t>Stage</w:t>
      </w:r>
      <w:r w:rsidR="00A02A70">
        <w:rPr>
          <w:color w:val="002060"/>
          <w:sz w:val="56"/>
          <w:szCs w:val="56"/>
        </w:rPr>
        <w:t xml:space="preserve"> </w:t>
      </w:r>
      <w:r w:rsidR="006C6EA9" w:rsidRPr="00A02A70">
        <w:rPr>
          <w:color w:val="002060"/>
          <w:sz w:val="56"/>
          <w:szCs w:val="56"/>
        </w:rPr>
        <w:t>1</w:t>
      </w:r>
    </w:p>
    <w:p w14:paraId="344B8E3C" w14:textId="2311D173" w:rsidR="00AC3A04" w:rsidRPr="0093196D" w:rsidRDefault="006711A4" w:rsidP="00A02A70">
      <w:pPr>
        <w:pStyle w:val="Cover-reporttype"/>
        <w:rPr>
          <w:color w:val="002060"/>
        </w:rPr>
      </w:pPr>
      <w:r>
        <w:rPr>
          <w:color w:val="002060"/>
        </w:rPr>
        <w:t>R</w:t>
      </w:r>
      <w:r w:rsidR="00EB66B6" w:rsidRPr="006C6EA9">
        <w:rPr>
          <w:color w:val="002060"/>
        </w:rPr>
        <w:t>eport</w:t>
      </w:r>
      <w:r w:rsidR="00A02A70">
        <w:rPr>
          <w:color w:val="002060"/>
        </w:rPr>
        <w:t xml:space="preserve"> and recommendations </w:t>
      </w:r>
    </w:p>
    <w:p w14:paraId="519C6578" w14:textId="77777777" w:rsidR="00AC3A04" w:rsidRDefault="00AC3A04" w:rsidP="00EB66B6">
      <w:pPr>
        <w:pStyle w:val="Cover-projectaddress"/>
      </w:pPr>
    </w:p>
    <w:p w14:paraId="77ED85FB" w14:textId="77777777" w:rsidR="004D3378" w:rsidRDefault="004D3378" w:rsidP="00EB66B6">
      <w:pPr>
        <w:pStyle w:val="Cover-projectaddress"/>
      </w:pPr>
    </w:p>
    <w:p w14:paraId="6E39E2C5" w14:textId="77777777" w:rsidR="00AC3A04" w:rsidRDefault="00AC3A04" w:rsidP="00EB66B6">
      <w:pPr>
        <w:pStyle w:val="Cover-projectaddress"/>
      </w:pPr>
    </w:p>
    <w:p w14:paraId="3DBD91AF" w14:textId="77777777" w:rsidR="006C6EA9" w:rsidRDefault="006C6EA9" w:rsidP="00EB66B6">
      <w:pPr>
        <w:pStyle w:val="Cover-projectaddress"/>
      </w:pPr>
    </w:p>
    <w:p w14:paraId="2C8AB2A1" w14:textId="77777777" w:rsidR="004D3378" w:rsidRPr="00880175" w:rsidRDefault="004D3378" w:rsidP="006711A4">
      <w:pPr>
        <w:pStyle w:val="Cover-projectaddress"/>
      </w:pPr>
    </w:p>
    <w:p w14:paraId="5FF38BF9" w14:textId="77777777" w:rsidR="00992237" w:rsidRDefault="00992237" w:rsidP="000B3C1D">
      <w:pPr>
        <w:pStyle w:val="Cover-projectaddress"/>
      </w:pPr>
    </w:p>
    <w:p w14:paraId="1D4DC639" w14:textId="77777777" w:rsidR="00AC3A04" w:rsidRDefault="00AC3A04" w:rsidP="000B3C1D">
      <w:pPr>
        <w:pStyle w:val="Cover-projectaddress"/>
      </w:pPr>
    </w:p>
    <w:p w14:paraId="4BBA285C" w14:textId="77777777" w:rsidR="00AC3A04" w:rsidRDefault="00AC3A04" w:rsidP="000B3C1D">
      <w:pPr>
        <w:pStyle w:val="Cover-projectaddress"/>
      </w:pPr>
    </w:p>
    <w:p w14:paraId="3FAB3F58" w14:textId="77777777" w:rsidR="00AC3A04" w:rsidRDefault="00AC3A04" w:rsidP="000B3C1D">
      <w:pPr>
        <w:pStyle w:val="Cover-projectaddress"/>
      </w:pPr>
    </w:p>
    <w:p w14:paraId="27A9D85B" w14:textId="77777777" w:rsidR="006711A4" w:rsidRDefault="006711A4" w:rsidP="000B3C1D">
      <w:pPr>
        <w:pStyle w:val="Cover-projectaddress"/>
      </w:pPr>
    </w:p>
    <w:p w14:paraId="39DDD62D" w14:textId="77777777" w:rsidR="006711A4" w:rsidRDefault="006711A4" w:rsidP="000B3C1D">
      <w:pPr>
        <w:pStyle w:val="Cover-projectaddress"/>
      </w:pPr>
    </w:p>
    <w:p w14:paraId="0E6E6241" w14:textId="77777777" w:rsidR="006711A4" w:rsidRDefault="006711A4" w:rsidP="000B3C1D">
      <w:pPr>
        <w:pStyle w:val="Cover-projectaddress"/>
      </w:pPr>
    </w:p>
    <w:p w14:paraId="3BBC0C4A" w14:textId="77777777" w:rsidR="006711A4" w:rsidRDefault="006711A4" w:rsidP="000B3C1D">
      <w:pPr>
        <w:pStyle w:val="Cover-projectaddress"/>
      </w:pPr>
    </w:p>
    <w:p w14:paraId="383040F5" w14:textId="77777777" w:rsidR="006711A4" w:rsidRDefault="006711A4" w:rsidP="000B3C1D">
      <w:pPr>
        <w:pStyle w:val="Cover-projectaddress"/>
      </w:pPr>
    </w:p>
    <w:p w14:paraId="2E38DB2F" w14:textId="77777777" w:rsidR="006711A4" w:rsidRDefault="006711A4" w:rsidP="000B3C1D">
      <w:pPr>
        <w:pStyle w:val="Cover-projectaddress"/>
      </w:pPr>
    </w:p>
    <w:p w14:paraId="563D6E4B" w14:textId="77777777" w:rsidR="006711A4" w:rsidRDefault="006711A4" w:rsidP="000B3C1D">
      <w:pPr>
        <w:pStyle w:val="Cover-projectaddress"/>
      </w:pPr>
    </w:p>
    <w:p w14:paraId="0DBD1362" w14:textId="77777777" w:rsidR="006711A4" w:rsidRDefault="006711A4" w:rsidP="000B3C1D">
      <w:pPr>
        <w:pStyle w:val="Cover-projectaddress"/>
      </w:pPr>
    </w:p>
    <w:p w14:paraId="299D4BCD" w14:textId="77777777" w:rsidR="006711A4" w:rsidRDefault="006711A4" w:rsidP="000B3C1D">
      <w:pPr>
        <w:pStyle w:val="Cover-projectaddress"/>
      </w:pPr>
    </w:p>
    <w:p w14:paraId="1271CFF7" w14:textId="77777777" w:rsidR="006711A4" w:rsidRDefault="006711A4" w:rsidP="000B3C1D">
      <w:pPr>
        <w:pStyle w:val="Cover-projectaddress"/>
      </w:pPr>
    </w:p>
    <w:p w14:paraId="3343FE10" w14:textId="77777777" w:rsidR="006711A4" w:rsidRDefault="006711A4" w:rsidP="000B3C1D">
      <w:pPr>
        <w:pStyle w:val="Cover-projectaddress"/>
      </w:pPr>
    </w:p>
    <w:p w14:paraId="527682A7" w14:textId="1FDFA362" w:rsidR="006711A4" w:rsidRDefault="006711A4" w:rsidP="000B3C1D">
      <w:pPr>
        <w:pStyle w:val="Cover-projectaddress"/>
      </w:pPr>
    </w:p>
    <w:p w14:paraId="618BA910" w14:textId="77777777" w:rsidR="00240CB7" w:rsidRDefault="00240CB7" w:rsidP="000B3C1D">
      <w:pPr>
        <w:pStyle w:val="Cover-projectaddress"/>
      </w:pPr>
    </w:p>
    <w:p w14:paraId="277F2E84" w14:textId="77777777" w:rsidR="0093196D" w:rsidRDefault="0093196D" w:rsidP="000B3C1D">
      <w:pPr>
        <w:pStyle w:val="Cover-projectaddress"/>
      </w:pPr>
    </w:p>
    <w:p w14:paraId="55283C5E" w14:textId="77777777" w:rsidR="006711A4" w:rsidRDefault="006711A4" w:rsidP="000B3C1D">
      <w:pPr>
        <w:pStyle w:val="Cover-projectaddress"/>
      </w:pPr>
    </w:p>
    <w:p w14:paraId="03A0C7C1" w14:textId="77777777" w:rsidR="006C6EA9" w:rsidRPr="00E50F23" w:rsidRDefault="006C6EA9" w:rsidP="00D350AD">
      <w:pPr>
        <w:pStyle w:val="Cover-projectaddress"/>
        <w:ind w:left="0"/>
      </w:pPr>
    </w:p>
    <w:p w14:paraId="4A1BF647" w14:textId="6D2C56C5" w:rsidR="00F2055D" w:rsidRDefault="00771B10" w:rsidP="00F2055D">
      <w:pPr>
        <w:pStyle w:val="Cover-date"/>
      </w:pPr>
      <w:sdt>
        <w:sdtPr>
          <w:alias w:val="Month"/>
          <w:tag w:val="Month"/>
          <w:id w:val="-645436366"/>
          <w:placeholder>
            <w:docPart w:val="115F5175DA1A49B2BE25FDD2F468FC3F"/>
          </w:placeholder>
          <w:comboBox>
            <w:listItem w:displayText="Choose an item." w:value="Choose an item."/>
            <w:listItem w:displayText="January" w:value="January"/>
            <w:listItem w:displayText="February" w:value="February"/>
            <w:listItem w:displayText="March" w:value="March"/>
            <w:listItem w:displayText="April" w:value="April"/>
            <w:listItem w:displayText="May" w:value="May"/>
            <w:listItem w:displayText="June" w:value="June"/>
            <w:listItem w:displayText="July" w:value="July"/>
            <w:listItem w:displayText="August" w:value="August"/>
            <w:listItem w:displayText="September" w:value="September"/>
            <w:listItem w:displayText="October" w:value="October"/>
            <w:listItem w:displayText="November" w:value="November"/>
            <w:listItem w:displayText="December" w:value="December"/>
          </w:comboBox>
        </w:sdtPr>
        <w:sdtEndPr/>
        <w:sdtContent>
          <w:r w:rsidR="007661A4">
            <w:t>August</w:t>
          </w:r>
        </w:sdtContent>
      </w:sdt>
      <w:r w:rsidR="00F2055D">
        <w:rPr>
          <w:color w:val="FF0000"/>
        </w:rPr>
        <w:t xml:space="preserve"> </w:t>
      </w:r>
      <w:sdt>
        <w:sdtPr>
          <w:alias w:val="Year"/>
          <w:tag w:val="Year"/>
          <w:id w:val="1010961562"/>
          <w:placeholder>
            <w:docPart w:val="115F5175DA1A49B2BE25FDD2F468FC3F"/>
          </w:placeholder>
          <w:comboBox>
            <w:listItem w:value="Choose an item."/>
            <w:listItem w:displayText="2017" w:value="2017"/>
            <w:listItem w:displayText="2018" w:value="2018"/>
            <w:listItem w:displayText="2019" w:value="2019"/>
            <w:listItem w:displayText="2020" w:value="2020"/>
          </w:comboBox>
        </w:sdtPr>
        <w:sdtEndPr/>
        <w:sdtContent>
          <w:r w:rsidR="006C6EA9">
            <w:t>2018</w:t>
          </w:r>
        </w:sdtContent>
      </w:sdt>
    </w:p>
    <w:p w14:paraId="2DC3E05B" w14:textId="77777777" w:rsidR="00E50F23" w:rsidRDefault="009C0045" w:rsidP="00244ADA">
      <w:pPr>
        <w:pStyle w:val="Cover-preparedtext"/>
        <w:tabs>
          <w:tab w:val="left" w:pos="6663"/>
        </w:tabs>
        <w:sectPr w:rsidR="00E50F23" w:rsidSect="00E55FAB">
          <w:footerReference w:type="even" r:id="rId8"/>
          <w:footerReference w:type="default" r:id="rId9"/>
          <w:footerReference w:type="first" r:id="rId10"/>
          <w:footnotePr>
            <w:numRestart w:val="eachSect"/>
          </w:footnotePr>
          <w:endnotePr>
            <w:numFmt w:val="decimal"/>
            <w:numRestart w:val="eachSect"/>
          </w:endnotePr>
          <w:type w:val="continuous"/>
          <w:pgSz w:w="11907" w:h="16840" w:code="9"/>
          <w:pgMar w:top="567" w:right="567" w:bottom="993" w:left="1701" w:header="850" w:footer="425" w:gutter="0"/>
          <w:pgNumType w:start="1"/>
          <w:cols w:space="720"/>
          <w:titlePg/>
          <w:docGrid w:linePitch="272"/>
        </w:sectPr>
      </w:pPr>
      <w:r>
        <w:rPr>
          <w:noProof/>
          <w:lang w:eastAsia="en-AU"/>
        </w:rPr>
        <mc:AlternateContent>
          <mc:Choice Requires="wps">
            <w:drawing>
              <wp:anchor distT="0" distB="0" distL="114300" distR="114300" simplePos="0" relativeHeight="251664896" behindDoc="0" locked="0" layoutInCell="1" allowOverlap="1" wp14:anchorId="0A887149" wp14:editId="2F6EB74A">
                <wp:simplePos x="0" y="0"/>
                <wp:positionH relativeFrom="margin">
                  <wp:align>right</wp:align>
                </wp:positionH>
                <wp:positionV relativeFrom="paragraph">
                  <wp:posOffset>35560</wp:posOffset>
                </wp:positionV>
                <wp:extent cx="1893600" cy="0"/>
                <wp:effectExtent l="0" t="0" r="30480" b="19050"/>
                <wp:wrapNone/>
                <wp:docPr id="9" name="Straight Connector 9"/>
                <wp:cNvGraphicFramePr/>
                <a:graphic xmlns:a="http://schemas.openxmlformats.org/drawingml/2006/main">
                  <a:graphicData uri="http://schemas.microsoft.com/office/word/2010/wordprocessingShape">
                    <wps:wsp>
                      <wps:cNvCnPr/>
                      <wps:spPr>
                        <a:xfrm flipV="1">
                          <a:off x="0" y="0"/>
                          <a:ext cx="189360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296B83" id="Straight Connector 9" o:spid="_x0000_s1026" style="position:absolute;flip:y;z-index:2516648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97.9pt,2.8pt" to="247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" strokecolor="black [3213]" strokeweight=".25pt">
                <w10:wrap anchorx="margin"/>
              </v:line>
            </w:pict>
          </mc:Fallback>
        </mc:AlternateContent>
      </w:r>
      <w:r>
        <w:rPr>
          <w:noProof/>
          <w:lang w:eastAsia="en-AU"/>
        </w:rPr>
        <mc:AlternateContent>
          <mc:Choice Requires="wps">
            <w:drawing>
              <wp:anchor distT="0" distB="0" distL="114300" distR="114300" simplePos="0" relativeHeight="251662848" behindDoc="0" locked="0" layoutInCell="1" allowOverlap="1" wp14:anchorId="457A6D72" wp14:editId="04C586E9">
                <wp:simplePos x="0" y="0"/>
                <wp:positionH relativeFrom="margin">
                  <wp:align>center</wp:align>
                </wp:positionH>
                <wp:positionV relativeFrom="paragraph">
                  <wp:posOffset>34290</wp:posOffset>
                </wp:positionV>
                <wp:extent cx="1893600" cy="0"/>
                <wp:effectExtent l="0" t="0" r="30480" b="19050"/>
                <wp:wrapNone/>
                <wp:docPr id="6" name="Straight Connector 6"/>
                <wp:cNvGraphicFramePr/>
                <a:graphic xmlns:a="http://schemas.openxmlformats.org/drawingml/2006/main">
                  <a:graphicData uri="http://schemas.microsoft.com/office/word/2010/wordprocessingShape">
                    <wps:wsp>
                      <wps:cNvCnPr/>
                      <wps:spPr>
                        <a:xfrm flipV="1">
                          <a:off x="0" y="0"/>
                          <a:ext cx="189360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AF49CB" id="Straight Connector 6" o:spid="_x0000_s1026" style="position:absolute;flip:y;z-index:251662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2.7pt" to="149.1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" strokecolor="black [3213]" strokeweight=".25pt">
                <w10:wrap anchorx="margin"/>
              </v:line>
            </w:pict>
          </mc:Fallback>
        </mc:AlternateContent>
      </w:r>
      <w:r w:rsidR="004D7E70">
        <w:t>Prepared by</w:t>
      </w:r>
      <w:r w:rsidR="00F5509F">
        <w:t xml:space="preserve"> </w:t>
      </w:r>
      <w:r w:rsidR="00F5509F">
        <w:tab/>
        <w:t>Prepared for</w:t>
      </w:r>
    </w:p>
    <w:p w14:paraId="4E82BF60" w14:textId="77777777" w:rsidR="00A368BC" w:rsidRDefault="00B117A5">
      <w:pPr>
        <w:pStyle w:val="TOC1"/>
      </w:pPr>
      <w:bookmarkStart w:id="0" w:name="_Toc515379136"/>
      <w:r>
        <w:lastRenderedPageBreak/>
        <w:t>TABLE OF CONTENTS</w:t>
      </w:r>
    </w:p>
    <w:p w14:paraId="2B282F18" w14:textId="5972D572" w:rsidR="00FA399E" w:rsidRDefault="00A368BC">
      <w:pPr>
        <w:pStyle w:val="TOC1"/>
        <w:rPr>
          <w:rFonts w:eastAsiaTheme="minorEastAsia" w:cstheme="minorBidi"/>
          <w:b w:val="0"/>
          <w:kern w:val="0"/>
          <w:sz w:val="22"/>
          <w:szCs w:val="22"/>
          <w:lang w:eastAsia="en-AU"/>
        </w:rPr>
      </w:pPr>
      <w:r>
        <w:fldChar w:fldCharType="begin"/>
      </w:r>
      <w:r>
        <w:instrText xml:space="preserve"> TOC \o "1-3" \h \z \u </w:instrText>
      </w:r>
      <w:r>
        <w:fldChar w:fldCharType="separate"/>
      </w:r>
      <w:hyperlink w:anchor="_Toc522766131" w:history="1">
        <w:r w:rsidR="00FA399E" w:rsidRPr="002F0D1F">
          <w:rPr>
            <w:rStyle w:val="Hyperlink"/>
          </w:rPr>
          <w:t>EXECUTIVE SUMMARY</w:t>
        </w:r>
        <w:r w:rsidR="00FA399E">
          <w:rPr>
            <w:webHidden/>
          </w:rPr>
          <w:tab/>
        </w:r>
        <w:r w:rsidR="00FA399E">
          <w:rPr>
            <w:webHidden/>
          </w:rPr>
          <w:fldChar w:fldCharType="begin"/>
        </w:r>
        <w:r w:rsidR="00FA399E">
          <w:rPr>
            <w:webHidden/>
          </w:rPr>
          <w:instrText xml:space="preserve"> PAGEREF _Toc522766131 \h </w:instrText>
        </w:r>
        <w:r w:rsidR="00FA399E">
          <w:rPr>
            <w:webHidden/>
          </w:rPr>
        </w:r>
        <w:r w:rsidR="00FA399E">
          <w:rPr>
            <w:webHidden/>
          </w:rPr>
          <w:fldChar w:fldCharType="separate"/>
        </w:r>
        <w:r w:rsidR="003E105F">
          <w:rPr>
            <w:webHidden/>
          </w:rPr>
          <w:t>i</w:t>
        </w:r>
        <w:r w:rsidR="00FA399E">
          <w:rPr>
            <w:webHidden/>
          </w:rPr>
          <w:fldChar w:fldCharType="end"/>
        </w:r>
      </w:hyperlink>
    </w:p>
    <w:p w14:paraId="3FA3797F" w14:textId="72E642F7" w:rsidR="00FA399E" w:rsidRDefault="00771B10">
      <w:pPr>
        <w:pStyle w:val="TOC1"/>
        <w:rPr>
          <w:rFonts w:eastAsiaTheme="minorEastAsia" w:cstheme="minorBidi"/>
          <w:b w:val="0"/>
          <w:kern w:val="0"/>
          <w:sz w:val="22"/>
          <w:szCs w:val="22"/>
          <w:lang w:eastAsia="en-AU"/>
        </w:rPr>
      </w:pPr>
      <w:hyperlink w:anchor="_Toc522766132" w:history="1">
        <w:r w:rsidR="00FA399E" w:rsidRPr="002F0D1F">
          <w:rPr>
            <w:rStyle w:val="Hyperlink"/>
          </w:rPr>
          <w:t>1.0</w:t>
        </w:r>
        <w:r w:rsidR="00FA399E">
          <w:rPr>
            <w:rFonts w:eastAsiaTheme="minorEastAsia" w:cstheme="minorBidi"/>
            <w:b w:val="0"/>
            <w:kern w:val="0"/>
            <w:sz w:val="22"/>
            <w:szCs w:val="22"/>
            <w:lang w:eastAsia="en-AU"/>
          </w:rPr>
          <w:tab/>
        </w:r>
        <w:r w:rsidR="00FA399E" w:rsidRPr="002F0D1F">
          <w:rPr>
            <w:rStyle w:val="Hyperlink"/>
          </w:rPr>
          <w:t>Introduction</w:t>
        </w:r>
        <w:r w:rsidR="00FA399E">
          <w:rPr>
            <w:webHidden/>
          </w:rPr>
          <w:tab/>
        </w:r>
        <w:r w:rsidR="00FA399E">
          <w:rPr>
            <w:webHidden/>
          </w:rPr>
          <w:fldChar w:fldCharType="begin"/>
        </w:r>
        <w:r w:rsidR="00FA399E">
          <w:rPr>
            <w:webHidden/>
          </w:rPr>
          <w:instrText xml:space="preserve"> PAGEREF _Toc522766132 \h </w:instrText>
        </w:r>
        <w:r w:rsidR="00FA399E">
          <w:rPr>
            <w:webHidden/>
          </w:rPr>
        </w:r>
        <w:r w:rsidR="00FA399E">
          <w:rPr>
            <w:webHidden/>
          </w:rPr>
          <w:fldChar w:fldCharType="separate"/>
        </w:r>
        <w:r w:rsidR="003E105F">
          <w:rPr>
            <w:webHidden/>
          </w:rPr>
          <w:t>1</w:t>
        </w:r>
        <w:r w:rsidR="00FA399E">
          <w:rPr>
            <w:webHidden/>
          </w:rPr>
          <w:fldChar w:fldCharType="end"/>
        </w:r>
      </w:hyperlink>
    </w:p>
    <w:p w14:paraId="7D78C570" w14:textId="5AFE5AD5" w:rsidR="00FA399E" w:rsidRDefault="00771B10">
      <w:pPr>
        <w:pStyle w:val="TOC3"/>
        <w:tabs>
          <w:tab w:val="left" w:pos="1702"/>
        </w:tabs>
        <w:rPr>
          <w:rFonts w:eastAsiaTheme="minorEastAsia" w:cstheme="minorBidi"/>
          <w:kern w:val="0"/>
          <w:sz w:val="22"/>
          <w:szCs w:val="22"/>
          <w:lang w:eastAsia="en-AU"/>
        </w:rPr>
      </w:pPr>
      <w:hyperlink w:anchor="_Toc522766133" w:history="1">
        <w:r w:rsidR="00FA399E" w:rsidRPr="002F0D1F">
          <w:rPr>
            <w:rStyle w:val="Hyperlink"/>
            <w:rFonts w:ascii="Calibri" w:hAnsi="Calibri"/>
          </w:rPr>
          <w:t>1.1.1</w:t>
        </w:r>
        <w:r w:rsidR="00FA399E">
          <w:rPr>
            <w:rFonts w:eastAsiaTheme="minorEastAsia" w:cstheme="minorBidi"/>
            <w:kern w:val="0"/>
            <w:sz w:val="22"/>
            <w:szCs w:val="22"/>
            <w:lang w:eastAsia="en-AU"/>
          </w:rPr>
          <w:tab/>
        </w:r>
        <w:r w:rsidR="00FA399E" w:rsidRPr="002F0D1F">
          <w:rPr>
            <w:rStyle w:val="Hyperlink"/>
          </w:rPr>
          <w:t>Preliminary desktop review</w:t>
        </w:r>
        <w:r w:rsidR="00FA399E">
          <w:rPr>
            <w:webHidden/>
          </w:rPr>
          <w:tab/>
        </w:r>
        <w:r w:rsidR="00FA399E">
          <w:rPr>
            <w:webHidden/>
          </w:rPr>
          <w:fldChar w:fldCharType="begin"/>
        </w:r>
        <w:r w:rsidR="00FA399E">
          <w:rPr>
            <w:webHidden/>
          </w:rPr>
          <w:instrText xml:space="preserve"> PAGEREF _Toc522766133 \h </w:instrText>
        </w:r>
        <w:r w:rsidR="00FA399E">
          <w:rPr>
            <w:webHidden/>
          </w:rPr>
        </w:r>
        <w:r w:rsidR="00FA399E">
          <w:rPr>
            <w:webHidden/>
          </w:rPr>
          <w:fldChar w:fldCharType="separate"/>
        </w:r>
        <w:r w:rsidR="003E105F">
          <w:rPr>
            <w:webHidden/>
          </w:rPr>
          <w:t>1</w:t>
        </w:r>
        <w:r w:rsidR="00FA399E">
          <w:rPr>
            <w:webHidden/>
          </w:rPr>
          <w:fldChar w:fldCharType="end"/>
        </w:r>
      </w:hyperlink>
    </w:p>
    <w:p w14:paraId="1D3B64C2" w14:textId="7EDA5B3B" w:rsidR="00FA399E" w:rsidRDefault="00771B10">
      <w:pPr>
        <w:pStyle w:val="TOC2"/>
        <w:rPr>
          <w:rFonts w:eastAsiaTheme="minorEastAsia" w:cstheme="minorBidi"/>
          <w:sz w:val="22"/>
          <w:szCs w:val="22"/>
          <w:lang w:val="en-AU" w:eastAsia="en-AU"/>
        </w:rPr>
      </w:pPr>
      <w:hyperlink w:anchor="_Toc522766134" w:history="1">
        <w:r w:rsidR="00FA399E" w:rsidRPr="002F0D1F">
          <w:rPr>
            <w:rStyle w:val="Hyperlink"/>
          </w:rPr>
          <w:t>1.2</w:t>
        </w:r>
        <w:r w:rsidR="00FA399E">
          <w:rPr>
            <w:rFonts w:eastAsiaTheme="minorEastAsia" w:cstheme="minorBidi"/>
            <w:sz w:val="22"/>
            <w:szCs w:val="22"/>
            <w:lang w:val="en-AU" w:eastAsia="en-AU"/>
          </w:rPr>
          <w:tab/>
        </w:r>
        <w:r w:rsidR="00FA399E" w:rsidRPr="002F0D1F">
          <w:rPr>
            <w:rStyle w:val="Hyperlink"/>
          </w:rPr>
          <w:t>Project team</w:t>
        </w:r>
        <w:r w:rsidR="00FA399E">
          <w:rPr>
            <w:webHidden/>
          </w:rPr>
          <w:tab/>
        </w:r>
        <w:r w:rsidR="00FA399E">
          <w:rPr>
            <w:webHidden/>
          </w:rPr>
          <w:fldChar w:fldCharType="begin"/>
        </w:r>
        <w:r w:rsidR="00FA399E">
          <w:rPr>
            <w:webHidden/>
          </w:rPr>
          <w:instrText xml:space="preserve"> PAGEREF _Toc522766134 \h </w:instrText>
        </w:r>
        <w:r w:rsidR="00FA399E">
          <w:rPr>
            <w:webHidden/>
          </w:rPr>
        </w:r>
        <w:r w:rsidR="00FA399E">
          <w:rPr>
            <w:webHidden/>
          </w:rPr>
          <w:fldChar w:fldCharType="separate"/>
        </w:r>
        <w:r w:rsidR="003E105F">
          <w:rPr>
            <w:webHidden/>
          </w:rPr>
          <w:t>2</w:t>
        </w:r>
        <w:r w:rsidR="00FA399E">
          <w:rPr>
            <w:webHidden/>
          </w:rPr>
          <w:fldChar w:fldCharType="end"/>
        </w:r>
      </w:hyperlink>
    </w:p>
    <w:p w14:paraId="0A951EC0" w14:textId="609C6F9F" w:rsidR="00FA399E" w:rsidRDefault="00771B10">
      <w:pPr>
        <w:pStyle w:val="TOC2"/>
        <w:rPr>
          <w:rFonts w:eastAsiaTheme="minorEastAsia" w:cstheme="minorBidi"/>
          <w:sz w:val="22"/>
          <w:szCs w:val="22"/>
          <w:lang w:val="en-AU" w:eastAsia="en-AU"/>
        </w:rPr>
      </w:pPr>
      <w:hyperlink w:anchor="_Toc522766135" w:history="1">
        <w:r w:rsidR="00FA399E" w:rsidRPr="002F0D1F">
          <w:rPr>
            <w:rStyle w:val="Hyperlink"/>
          </w:rPr>
          <w:t>1.3</w:t>
        </w:r>
        <w:r w:rsidR="00FA399E">
          <w:rPr>
            <w:rFonts w:eastAsiaTheme="minorEastAsia" w:cstheme="minorBidi"/>
            <w:sz w:val="22"/>
            <w:szCs w:val="22"/>
            <w:lang w:val="en-AU" w:eastAsia="en-AU"/>
          </w:rPr>
          <w:tab/>
        </w:r>
        <w:r w:rsidR="00FA399E" w:rsidRPr="002F0D1F">
          <w:rPr>
            <w:rStyle w:val="Hyperlink"/>
          </w:rPr>
          <w:t>Limitations and exclusions</w:t>
        </w:r>
        <w:r w:rsidR="00FA399E">
          <w:rPr>
            <w:webHidden/>
          </w:rPr>
          <w:tab/>
        </w:r>
        <w:r w:rsidR="00FA399E">
          <w:rPr>
            <w:webHidden/>
          </w:rPr>
          <w:fldChar w:fldCharType="begin"/>
        </w:r>
        <w:r w:rsidR="00FA399E">
          <w:rPr>
            <w:webHidden/>
          </w:rPr>
          <w:instrText xml:space="preserve"> PAGEREF _Toc522766135 \h </w:instrText>
        </w:r>
        <w:r w:rsidR="00FA399E">
          <w:rPr>
            <w:webHidden/>
          </w:rPr>
        </w:r>
        <w:r w:rsidR="00FA399E">
          <w:rPr>
            <w:webHidden/>
          </w:rPr>
          <w:fldChar w:fldCharType="separate"/>
        </w:r>
        <w:r w:rsidR="003E105F">
          <w:rPr>
            <w:webHidden/>
          </w:rPr>
          <w:t>2</w:t>
        </w:r>
        <w:r w:rsidR="00FA399E">
          <w:rPr>
            <w:webHidden/>
          </w:rPr>
          <w:fldChar w:fldCharType="end"/>
        </w:r>
      </w:hyperlink>
    </w:p>
    <w:p w14:paraId="15C96F0A" w14:textId="12AE8856" w:rsidR="00FA399E" w:rsidRDefault="00771B10">
      <w:pPr>
        <w:pStyle w:val="TOC3"/>
        <w:tabs>
          <w:tab w:val="left" w:pos="1702"/>
        </w:tabs>
        <w:rPr>
          <w:rFonts w:eastAsiaTheme="minorEastAsia" w:cstheme="minorBidi"/>
          <w:kern w:val="0"/>
          <w:sz w:val="22"/>
          <w:szCs w:val="22"/>
          <w:lang w:eastAsia="en-AU"/>
        </w:rPr>
      </w:pPr>
      <w:hyperlink w:anchor="_Toc522766136" w:history="1">
        <w:r w:rsidR="00FA399E" w:rsidRPr="002F0D1F">
          <w:rPr>
            <w:rStyle w:val="Hyperlink"/>
            <w:rFonts w:ascii="Calibri" w:hAnsi="Calibri"/>
          </w:rPr>
          <w:t>1.3.1</w:t>
        </w:r>
        <w:r w:rsidR="00FA399E">
          <w:rPr>
            <w:rFonts w:eastAsiaTheme="minorEastAsia" w:cstheme="minorBidi"/>
            <w:kern w:val="0"/>
            <w:sz w:val="22"/>
            <w:szCs w:val="22"/>
            <w:lang w:eastAsia="en-AU"/>
          </w:rPr>
          <w:tab/>
        </w:r>
        <w:r w:rsidR="00FA399E" w:rsidRPr="002F0D1F">
          <w:rPr>
            <w:rStyle w:val="Hyperlink"/>
          </w:rPr>
          <w:t>Consultation ‘reach’</w:t>
        </w:r>
        <w:r w:rsidR="00FA399E">
          <w:rPr>
            <w:webHidden/>
          </w:rPr>
          <w:tab/>
        </w:r>
        <w:r w:rsidR="00FA399E">
          <w:rPr>
            <w:webHidden/>
          </w:rPr>
          <w:fldChar w:fldCharType="begin"/>
        </w:r>
        <w:r w:rsidR="00FA399E">
          <w:rPr>
            <w:webHidden/>
          </w:rPr>
          <w:instrText xml:space="preserve"> PAGEREF _Toc522766136 \h </w:instrText>
        </w:r>
        <w:r w:rsidR="00FA399E">
          <w:rPr>
            <w:webHidden/>
          </w:rPr>
        </w:r>
        <w:r w:rsidR="00FA399E">
          <w:rPr>
            <w:webHidden/>
          </w:rPr>
          <w:fldChar w:fldCharType="separate"/>
        </w:r>
        <w:r w:rsidR="003E105F">
          <w:rPr>
            <w:webHidden/>
          </w:rPr>
          <w:t>2</w:t>
        </w:r>
        <w:r w:rsidR="00FA399E">
          <w:rPr>
            <w:webHidden/>
          </w:rPr>
          <w:fldChar w:fldCharType="end"/>
        </w:r>
      </w:hyperlink>
    </w:p>
    <w:p w14:paraId="6BB58A74" w14:textId="3E92DA39" w:rsidR="00FA399E" w:rsidRDefault="00771B10">
      <w:pPr>
        <w:pStyle w:val="TOC3"/>
        <w:tabs>
          <w:tab w:val="left" w:pos="1702"/>
        </w:tabs>
        <w:rPr>
          <w:rFonts w:eastAsiaTheme="minorEastAsia" w:cstheme="minorBidi"/>
          <w:kern w:val="0"/>
          <w:sz w:val="22"/>
          <w:szCs w:val="22"/>
          <w:lang w:eastAsia="en-AU"/>
        </w:rPr>
      </w:pPr>
      <w:hyperlink w:anchor="_Toc522766137" w:history="1">
        <w:r w:rsidR="00FA399E" w:rsidRPr="002F0D1F">
          <w:rPr>
            <w:rStyle w:val="Hyperlink"/>
            <w:rFonts w:ascii="Calibri" w:hAnsi="Calibri"/>
          </w:rPr>
          <w:t>1.3.2</w:t>
        </w:r>
        <w:r w:rsidR="00FA399E">
          <w:rPr>
            <w:rFonts w:eastAsiaTheme="minorEastAsia" w:cstheme="minorBidi"/>
            <w:kern w:val="0"/>
            <w:sz w:val="22"/>
            <w:szCs w:val="22"/>
            <w:lang w:eastAsia="en-AU"/>
          </w:rPr>
          <w:tab/>
        </w:r>
        <w:r w:rsidR="00FA399E" w:rsidRPr="002F0D1F">
          <w:rPr>
            <w:rStyle w:val="Hyperlink"/>
          </w:rPr>
          <w:t>Aboriginal and Torres Strait Islander people</w:t>
        </w:r>
        <w:r w:rsidR="00FA399E">
          <w:rPr>
            <w:webHidden/>
          </w:rPr>
          <w:tab/>
        </w:r>
        <w:r w:rsidR="00FA399E">
          <w:rPr>
            <w:webHidden/>
          </w:rPr>
          <w:fldChar w:fldCharType="begin"/>
        </w:r>
        <w:r w:rsidR="00FA399E">
          <w:rPr>
            <w:webHidden/>
          </w:rPr>
          <w:instrText xml:space="preserve"> PAGEREF _Toc522766137 \h </w:instrText>
        </w:r>
        <w:r w:rsidR="00FA399E">
          <w:rPr>
            <w:webHidden/>
          </w:rPr>
        </w:r>
        <w:r w:rsidR="00FA399E">
          <w:rPr>
            <w:webHidden/>
          </w:rPr>
          <w:fldChar w:fldCharType="separate"/>
        </w:r>
        <w:r w:rsidR="003E105F">
          <w:rPr>
            <w:webHidden/>
          </w:rPr>
          <w:t>3</w:t>
        </w:r>
        <w:r w:rsidR="00FA399E">
          <w:rPr>
            <w:webHidden/>
          </w:rPr>
          <w:fldChar w:fldCharType="end"/>
        </w:r>
      </w:hyperlink>
    </w:p>
    <w:p w14:paraId="2E8D6A58" w14:textId="4DD96EBE" w:rsidR="00FA399E" w:rsidRDefault="00771B10">
      <w:pPr>
        <w:pStyle w:val="TOC3"/>
        <w:tabs>
          <w:tab w:val="left" w:pos="1702"/>
        </w:tabs>
        <w:rPr>
          <w:rFonts w:eastAsiaTheme="minorEastAsia" w:cstheme="minorBidi"/>
          <w:kern w:val="0"/>
          <w:sz w:val="22"/>
          <w:szCs w:val="22"/>
          <w:lang w:eastAsia="en-AU"/>
        </w:rPr>
      </w:pPr>
      <w:hyperlink w:anchor="_Toc522766138" w:history="1">
        <w:r w:rsidR="00FA399E" w:rsidRPr="002F0D1F">
          <w:rPr>
            <w:rStyle w:val="Hyperlink"/>
            <w:rFonts w:ascii="Calibri" w:hAnsi="Calibri"/>
          </w:rPr>
          <w:t>1.3.3</w:t>
        </w:r>
        <w:r w:rsidR="00FA399E">
          <w:rPr>
            <w:rFonts w:eastAsiaTheme="minorEastAsia" w:cstheme="minorBidi"/>
            <w:kern w:val="0"/>
            <w:sz w:val="22"/>
            <w:szCs w:val="22"/>
            <w:lang w:eastAsia="en-AU"/>
          </w:rPr>
          <w:tab/>
        </w:r>
        <w:r w:rsidR="00FA399E" w:rsidRPr="002F0D1F">
          <w:rPr>
            <w:rStyle w:val="Hyperlink"/>
          </w:rPr>
          <w:t>Consultation fatigue</w:t>
        </w:r>
        <w:r w:rsidR="00FA399E">
          <w:rPr>
            <w:webHidden/>
          </w:rPr>
          <w:tab/>
        </w:r>
        <w:r w:rsidR="00FA399E">
          <w:rPr>
            <w:webHidden/>
          </w:rPr>
          <w:fldChar w:fldCharType="begin"/>
        </w:r>
        <w:r w:rsidR="00FA399E">
          <w:rPr>
            <w:webHidden/>
          </w:rPr>
          <w:instrText xml:space="preserve"> PAGEREF _Toc522766138 \h </w:instrText>
        </w:r>
        <w:r w:rsidR="00FA399E">
          <w:rPr>
            <w:webHidden/>
          </w:rPr>
        </w:r>
        <w:r w:rsidR="00FA399E">
          <w:rPr>
            <w:webHidden/>
          </w:rPr>
          <w:fldChar w:fldCharType="separate"/>
        </w:r>
        <w:r w:rsidR="003E105F">
          <w:rPr>
            <w:webHidden/>
          </w:rPr>
          <w:t>4</w:t>
        </w:r>
        <w:r w:rsidR="00FA399E">
          <w:rPr>
            <w:webHidden/>
          </w:rPr>
          <w:fldChar w:fldCharType="end"/>
        </w:r>
      </w:hyperlink>
    </w:p>
    <w:p w14:paraId="02358285" w14:textId="53ABD38F" w:rsidR="00FA399E" w:rsidRDefault="00771B10">
      <w:pPr>
        <w:pStyle w:val="TOC3"/>
        <w:tabs>
          <w:tab w:val="left" w:pos="1702"/>
        </w:tabs>
        <w:rPr>
          <w:rFonts w:eastAsiaTheme="minorEastAsia" w:cstheme="minorBidi"/>
          <w:kern w:val="0"/>
          <w:sz w:val="22"/>
          <w:szCs w:val="22"/>
          <w:lang w:eastAsia="en-AU"/>
        </w:rPr>
      </w:pPr>
      <w:hyperlink w:anchor="_Toc522766139" w:history="1">
        <w:r w:rsidR="00FA399E" w:rsidRPr="002F0D1F">
          <w:rPr>
            <w:rStyle w:val="Hyperlink"/>
            <w:rFonts w:ascii="Calibri" w:hAnsi="Calibri"/>
          </w:rPr>
          <w:t>1.3.4</w:t>
        </w:r>
        <w:r w:rsidR="00FA399E">
          <w:rPr>
            <w:rFonts w:eastAsiaTheme="minorEastAsia" w:cstheme="minorBidi"/>
            <w:kern w:val="0"/>
            <w:sz w:val="22"/>
            <w:szCs w:val="22"/>
            <w:lang w:eastAsia="en-AU"/>
          </w:rPr>
          <w:tab/>
        </w:r>
        <w:r w:rsidR="00FA399E" w:rsidRPr="002F0D1F">
          <w:rPr>
            <w:rStyle w:val="Hyperlink"/>
          </w:rPr>
          <w:t>Survey technology and data analysis</w:t>
        </w:r>
        <w:r w:rsidR="00FA399E">
          <w:rPr>
            <w:webHidden/>
          </w:rPr>
          <w:tab/>
        </w:r>
        <w:r w:rsidR="00FA399E">
          <w:rPr>
            <w:webHidden/>
          </w:rPr>
          <w:fldChar w:fldCharType="begin"/>
        </w:r>
        <w:r w:rsidR="00FA399E">
          <w:rPr>
            <w:webHidden/>
          </w:rPr>
          <w:instrText xml:space="preserve"> PAGEREF _Toc522766139 \h </w:instrText>
        </w:r>
        <w:r w:rsidR="00FA399E">
          <w:rPr>
            <w:webHidden/>
          </w:rPr>
        </w:r>
        <w:r w:rsidR="00FA399E">
          <w:rPr>
            <w:webHidden/>
          </w:rPr>
          <w:fldChar w:fldCharType="separate"/>
        </w:r>
        <w:r w:rsidR="003E105F">
          <w:rPr>
            <w:webHidden/>
          </w:rPr>
          <w:t>5</w:t>
        </w:r>
        <w:r w:rsidR="00FA399E">
          <w:rPr>
            <w:webHidden/>
          </w:rPr>
          <w:fldChar w:fldCharType="end"/>
        </w:r>
      </w:hyperlink>
    </w:p>
    <w:p w14:paraId="59DCE5E8" w14:textId="08C6F6D0" w:rsidR="00FA399E" w:rsidRDefault="00771B10">
      <w:pPr>
        <w:pStyle w:val="TOC1"/>
        <w:rPr>
          <w:rFonts w:eastAsiaTheme="minorEastAsia" w:cstheme="minorBidi"/>
          <w:b w:val="0"/>
          <w:kern w:val="0"/>
          <w:sz w:val="22"/>
          <w:szCs w:val="22"/>
          <w:lang w:eastAsia="en-AU"/>
        </w:rPr>
      </w:pPr>
      <w:hyperlink w:anchor="_Toc522766140" w:history="1">
        <w:r w:rsidR="00FA399E" w:rsidRPr="002F0D1F">
          <w:rPr>
            <w:rStyle w:val="Hyperlink"/>
            <w:bCs/>
          </w:rPr>
          <w:t>2.0</w:t>
        </w:r>
        <w:r w:rsidR="00FA399E">
          <w:rPr>
            <w:rFonts w:eastAsiaTheme="minorEastAsia" w:cstheme="minorBidi"/>
            <w:b w:val="0"/>
            <w:kern w:val="0"/>
            <w:sz w:val="22"/>
            <w:szCs w:val="22"/>
            <w:lang w:eastAsia="en-AU"/>
          </w:rPr>
          <w:tab/>
        </w:r>
        <w:r w:rsidR="00FA399E" w:rsidRPr="002F0D1F">
          <w:rPr>
            <w:rStyle w:val="Hyperlink"/>
            <w:bCs/>
          </w:rPr>
          <w:t>Sources</w:t>
        </w:r>
        <w:r w:rsidR="00FA399E">
          <w:rPr>
            <w:webHidden/>
          </w:rPr>
          <w:tab/>
        </w:r>
        <w:r w:rsidR="00FA399E">
          <w:rPr>
            <w:webHidden/>
          </w:rPr>
          <w:fldChar w:fldCharType="begin"/>
        </w:r>
        <w:r w:rsidR="00FA399E">
          <w:rPr>
            <w:webHidden/>
          </w:rPr>
          <w:instrText xml:space="preserve"> PAGEREF _Toc522766140 \h </w:instrText>
        </w:r>
        <w:r w:rsidR="00FA399E">
          <w:rPr>
            <w:webHidden/>
          </w:rPr>
        </w:r>
        <w:r w:rsidR="00FA399E">
          <w:rPr>
            <w:webHidden/>
          </w:rPr>
          <w:fldChar w:fldCharType="separate"/>
        </w:r>
        <w:r w:rsidR="003E105F">
          <w:rPr>
            <w:webHidden/>
          </w:rPr>
          <w:t>5</w:t>
        </w:r>
        <w:r w:rsidR="00FA399E">
          <w:rPr>
            <w:webHidden/>
          </w:rPr>
          <w:fldChar w:fldCharType="end"/>
        </w:r>
      </w:hyperlink>
    </w:p>
    <w:p w14:paraId="0A6CDAF7" w14:textId="51DEAF6A" w:rsidR="00FA399E" w:rsidRDefault="00771B10">
      <w:pPr>
        <w:pStyle w:val="TOC2"/>
        <w:rPr>
          <w:rFonts w:eastAsiaTheme="minorEastAsia" w:cstheme="minorBidi"/>
          <w:sz w:val="22"/>
          <w:szCs w:val="22"/>
          <w:lang w:val="en-AU" w:eastAsia="en-AU"/>
        </w:rPr>
      </w:pPr>
      <w:hyperlink w:anchor="_Toc522766141" w:history="1">
        <w:r w:rsidR="00FA399E" w:rsidRPr="002F0D1F">
          <w:rPr>
            <w:rStyle w:val="Hyperlink"/>
          </w:rPr>
          <w:t>2.1</w:t>
        </w:r>
        <w:r w:rsidR="00FA399E">
          <w:rPr>
            <w:rFonts w:eastAsiaTheme="minorEastAsia" w:cstheme="minorBidi"/>
            <w:sz w:val="22"/>
            <w:szCs w:val="22"/>
            <w:lang w:val="en-AU" w:eastAsia="en-AU"/>
          </w:rPr>
          <w:tab/>
        </w:r>
        <w:r w:rsidR="00FA399E" w:rsidRPr="002F0D1F">
          <w:rPr>
            <w:rStyle w:val="Hyperlink"/>
          </w:rPr>
          <w:t>Consultation</w:t>
        </w:r>
        <w:r w:rsidR="00FA399E">
          <w:rPr>
            <w:webHidden/>
          </w:rPr>
          <w:tab/>
        </w:r>
        <w:r w:rsidR="00FA399E">
          <w:rPr>
            <w:webHidden/>
          </w:rPr>
          <w:fldChar w:fldCharType="begin"/>
        </w:r>
        <w:r w:rsidR="00FA399E">
          <w:rPr>
            <w:webHidden/>
          </w:rPr>
          <w:instrText xml:space="preserve"> PAGEREF _Toc522766141 \h </w:instrText>
        </w:r>
        <w:r w:rsidR="00FA399E">
          <w:rPr>
            <w:webHidden/>
          </w:rPr>
        </w:r>
        <w:r w:rsidR="00FA399E">
          <w:rPr>
            <w:webHidden/>
          </w:rPr>
          <w:fldChar w:fldCharType="separate"/>
        </w:r>
        <w:r w:rsidR="003E105F">
          <w:rPr>
            <w:webHidden/>
          </w:rPr>
          <w:t>5</w:t>
        </w:r>
        <w:r w:rsidR="00FA399E">
          <w:rPr>
            <w:webHidden/>
          </w:rPr>
          <w:fldChar w:fldCharType="end"/>
        </w:r>
      </w:hyperlink>
    </w:p>
    <w:p w14:paraId="0D18EC82" w14:textId="79B06D2A" w:rsidR="00FA399E" w:rsidRDefault="00771B10">
      <w:pPr>
        <w:pStyle w:val="TOC2"/>
        <w:rPr>
          <w:rFonts w:eastAsiaTheme="minorEastAsia" w:cstheme="minorBidi"/>
          <w:sz w:val="22"/>
          <w:szCs w:val="22"/>
          <w:lang w:val="en-AU" w:eastAsia="en-AU"/>
        </w:rPr>
      </w:pPr>
      <w:hyperlink w:anchor="_Toc522766142" w:history="1">
        <w:r w:rsidR="00FA399E" w:rsidRPr="002F0D1F">
          <w:rPr>
            <w:rStyle w:val="Hyperlink"/>
          </w:rPr>
          <w:t>2.2</w:t>
        </w:r>
        <w:r w:rsidR="00FA399E">
          <w:rPr>
            <w:rFonts w:eastAsiaTheme="minorEastAsia" w:cstheme="minorBidi"/>
            <w:sz w:val="22"/>
            <w:szCs w:val="22"/>
            <w:lang w:val="en-AU" w:eastAsia="en-AU"/>
          </w:rPr>
          <w:tab/>
        </w:r>
        <w:r w:rsidR="00FA399E" w:rsidRPr="002F0D1F">
          <w:rPr>
            <w:rStyle w:val="Hyperlink"/>
          </w:rPr>
          <w:t>Research</w:t>
        </w:r>
        <w:r w:rsidR="00FA399E">
          <w:rPr>
            <w:webHidden/>
          </w:rPr>
          <w:tab/>
        </w:r>
        <w:r w:rsidR="00FA399E">
          <w:rPr>
            <w:webHidden/>
          </w:rPr>
          <w:fldChar w:fldCharType="begin"/>
        </w:r>
        <w:r w:rsidR="00FA399E">
          <w:rPr>
            <w:webHidden/>
          </w:rPr>
          <w:instrText xml:space="preserve"> PAGEREF _Toc522766142 \h </w:instrText>
        </w:r>
        <w:r w:rsidR="00FA399E">
          <w:rPr>
            <w:webHidden/>
          </w:rPr>
        </w:r>
        <w:r w:rsidR="00FA399E">
          <w:rPr>
            <w:webHidden/>
          </w:rPr>
          <w:fldChar w:fldCharType="separate"/>
        </w:r>
        <w:r w:rsidR="003E105F">
          <w:rPr>
            <w:webHidden/>
          </w:rPr>
          <w:t>6</w:t>
        </w:r>
        <w:r w:rsidR="00FA399E">
          <w:rPr>
            <w:webHidden/>
          </w:rPr>
          <w:fldChar w:fldCharType="end"/>
        </w:r>
      </w:hyperlink>
    </w:p>
    <w:p w14:paraId="1035E23D" w14:textId="6A58D608" w:rsidR="00FA399E" w:rsidRDefault="00771B10">
      <w:pPr>
        <w:pStyle w:val="TOC3"/>
        <w:tabs>
          <w:tab w:val="left" w:pos="1702"/>
        </w:tabs>
        <w:rPr>
          <w:rFonts w:eastAsiaTheme="minorEastAsia" w:cstheme="minorBidi"/>
          <w:kern w:val="0"/>
          <w:sz w:val="22"/>
          <w:szCs w:val="22"/>
          <w:lang w:eastAsia="en-AU"/>
        </w:rPr>
      </w:pPr>
      <w:hyperlink w:anchor="_Toc522766143" w:history="1">
        <w:r w:rsidR="00FA399E" w:rsidRPr="002F0D1F">
          <w:rPr>
            <w:rStyle w:val="Hyperlink"/>
            <w:rFonts w:ascii="Calibri" w:hAnsi="Calibri"/>
          </w:rPr>
          <w:t>2.2.1</w:t>
        </w:r>
        <w:r w:rsidR="00FA399E">
          <w:rPr>
            <w:rFonts w:eastAsiaTheme="minorEastAsia" w:cstheme="minorBidi"/>
            <w:kern w:val="0"/>
            <w:sz w:val="22"/>
            <w:szCs w:val="22"/>
            <w:lang w:eastAsia="en-AU"/>
          </w:rPr>
          <w:tab/>
        </w:r>
        <w:r w:rsidR="00FA399E" w:rsidRPr="002F0D1F">
          <w:rPr>
            <w:rStyle w:val="Hyperlink"/>
          </w:rPr>
          <w:t>Online sources</w:t>
        </w:r>
        <w:r w:rsidR="00FA399E">
          <w:rPr>
            <w:webHidden/>
          </w:rPr>
          <w:tab/>
        </w:r>
        <w:r w:rsidR="00FA399E">
          <w:rPr>
            <w:webHidden/>
          </w:rPr>
          <w:fldChar w:fldCharType="begin"/>
        </w:r>
        <w:r w:rsidR="00FA399E">
          <w:rPr>
            <w:webHidden/>
          </w:rPr>
          <w:instrText xml:space="preserve"> PAGEREF _Toc522766143 \h </w:instrText>
        </w:r>
        <w:r w:rsidR="00FA399E">
          <w:rPr>
            <w:webHidden/>
          </w:rPr>
        </w:r>
        <w:r w:rsidR="00FA399E">
          <w:rPr>
            <w:webHidden/>
          </w:rPr>
          <w:fldChar w:fldCharType="separate"/>
        </w:r>
        <w:r w:rsidR="003E105F">
          <w:rPr>
            <w:webHidden/>
          </w:rPr>
          <w:t>6</w:t>
        </w:r>
        <w:r w:rsidR="00FA399E">
          <w:rPr>
            <w:webHidden/>
          </w:rPr>
          <w:fldChar w:fldCharType="end"/>
        </w:r>
      </w:hyperlink>
    </w:p>
    <w:p w14:paraId="7E34FBAC" w14:textId="4972CBC6" w:rsidR="00FA399E" w:rsidRDefault="00771B10">
      <w:pPr>
        <w:pStyle w:val="TOC1"/>
        <w:rPr>
          <w:rFonts w:eastAsiaTheme="minorEastAsia" w:cstheme="minorBidi"/>
          <w:b w:val="0"/>
          <w:kern w:val="0"/>
          <w:sz w:val="22"/>
          <w:szCs w:val="22"/>
          <w:lang w:eastAsia="en-AU"/>
        </w:rPr>
      </w:pPr>
      <w:hyperlink w:anchor="_Toc522766144" w:history="1">
        <w:r w:rsidR="00FA399E" w:rsidRPr="002F0D1F">
          <w:rPr>
            <w:rStyle w:val="Hyperlink"/>
          </w:rPr>
          <w:t>3.0</w:t>
        </w:r>
        <w:r w:rsidR="00FA399E">
          <w:rPr>
            <w:rFonts w:eastAsiaTheme="minorEastAsia" w:cstheme="minorBidi"/>
            <w:b w:val="0"/>
            <w:kern w:val="0"/>
            <w:sz w:val="22"/>
            <w:szCs w:val="22"/>
            <w:lang w:eastAsia="en-AU"/>
          </w:rPr>
          <w:tab/>
        </w:r>
        <w:r w:rsidR="00FA399E" w:rsidRPr="002F0D1F">
          <w:rPr>
            <w:rStyle w:val="Hyperlink"/>
          </w:rPr>
          <w:t>Project context – community-centred planning</w:t>
        </w:r>
        <w:r w:rsidR="00FA399E">
          <w:rPr>
            <w:webHidden/>
          </w:rPr>
          <w:tab/>
        </w:r>
        <w:r w:rsidR="00FA399E">
          <w:rPr>
            <w:webHidden/>
          </w:rPr>
          <w:fldChar w:fldCharType="begin"/>
        </w:r>
        <w:r w:rsidR="00FA399E">
          <w:rPr>
            <w:webHidden/>
          </w:rPr>
          <w:instrText xml:space="preserve"> PAGEREF _Toc522766144 \h </w:instrText>
        </w:r>
        <w:r w:rsidR="00FA399E">
          <w:rPr>
            <w:webHidden/>
          </w:rPr>
        </w:r>
        <w:r w:rsidR="00FA399E">
          <w:rPr>
            <w:webHidden/>
          </w:rPr>
          <w:fldChar w:fldCharType="separate"/>
        </w:r>
        <w:r w:rsidR="003E105F">
          <w:rPr>
            <w:webHidden/>
          </w:rPr>
          <w:t>9</w:t>
        </w:r>
        <w:r w:rsidR="00FA399E">
          <w:rPr>
            <w:webHidden/>
          </w:rPr>
          <w:fldChar w:fldCharType="end"/>
        </w:r>
      </w:hyperlink>
    </w:p>
    <w:p w14:paraId="51A7FA8E" w14:textId="2AFEB85C" w:rsidR="00FA399E" w:rsidRDefault="00771B10">
      <w:pPr>
        <w:pStyle w:val="TOC2"/>
        <w:rPr>
          <w:rFonts w:eastAsiaTheme="minorEastAsia" w:cstheme="minorBidi"/>
          <w:sz w:val="22"/>
          <w:szCs w:val="22"/>
          <w:lang w:val="en-AU" w:eastAsia="en-AU"/>
        </w:rPr>
      </w:pPr>
      <w:hyperlink w:anchor="_Toc522766145" w:history="1">
        <w:r w:rsidR="00FA399E" w:rsidRPr="002F0D1F">
          <w:rPr>
            <w:rStyle w:val="Hyperlink"/>
          </w:rPr>
          <w:t>3.1</w:t>
        </w:r>
        <w:r w:rsidR="00FA399E">
          <w:rPr>
            <w:rFonts w:eastAsiaTheme="minorEastAsia" w:cstheme="minorBidi"/>
            <w:sz w:val="22"/>
            <w:szCs w:val="22"/>
            <w:lang w:val="en-AU" w:eastAsia="en-AU"/>
          </w:rPr>
          <w:tab/>
        </w:r>
        <w:r w:rsidR="00FA399E" w:rsidRPr="002F0D1F">
          <w:rPr>
            <w:rStyle w:val="Hyperlink"/>
            <w:i/>
          </w:rPr>
          <w:t>Localism Act 2011</w:t>
        </w:r>
        <w:r w:rsidR="00FA399E" w:rsidRPr="002F0D1F">
          <w:rPr>
            <w:rStyle w:val="Hyperlink"/>
          </w:rPr>
          <w:t xml:space="preserve"> (UK)</w:t>
        </w:r>
        <w:r w:rsidR="00FA399E">
          <w:rPr>
            <w:webHidden/>
          </w:rPr>
          <w:tab/>
        </w:r>
        <w:r w:rsidR="00FA399E">
          <w:rPr>
            <w:webHidden/>
          </w:rPr>
          <w:fldChar w:fldCharType="begin"/>
        </w:r>
        <w:r w:rsidR="00FA399E">
          <w:rPr>
            <w:webHidden/>
          </w:rPr>
          <w:instrText xml:space="preserve"> PAGEREF _Toc522766145 \h </w:instrText>
        </w:r>
        <w:r w:rsidR="00FA399E">
          <w:rPr>
            <w:webHidden/>
          </w:rPr>
        </w:r>
        <w:r w:rsidR="00FA399E">
          <w:rPr>
            <w:webHidden/>
          </w:rPr>
          <w:fldChar w:fldCharType="separate"/>
        </w:r>
        <w:r w:rsidR="003E105F">
          <w:rPr>
            <w:webHidden/>
          </w:rPr>
          <w:t>9</w:t>
        </w:r>
        <w:r w:rsidR="00FA399E">
          <w:rPr>
            <w:webHidden/>
          </w:rPr>
          <w:fldChar w:fldCharType="end"/>
        </w:r>
      </w:hyperlink>
    </w:p>
    <w:p w14:paraId="34440A34" w14:textId="7BCD390C" w:rsidR="00FA399E" w:rsidRDefault="00771B10">
      <w:pPr>
        <w:pStyle w:val="TOC2"/>
        <w:rPr>
          <w:rFonts w:eastAsiaTheme="minorEastAsia" w:cstheme="minorBidi"/>
          <w:sz w:val="22"/>
          <w:szCs w:val="22"/>
          <w:lang w:val="en-AU" w:eastAsia="en-AU"/>
        </w:rPr>
      </w:pPr>
      <w:hyperlink w:anchor="_Toc522766146" w:history="1">
        <w:r w:rsidR="00FA399E" w:rsidRPr="002F0D1F">
          <w:rPr>
            <w:rStyle w:val="Hyperlink"/>
          </w:rPr>
          <w:t>3.2</w:t>
        </w:r>
        <w:r w:rsidR="00FA399E">
          <w:rPr>
            <w:rFonts w:eastAsiaTheme="minorEastAsia" w:cstheme="minorBidi"/>
            <w:sz w:val="22"/>
            <w:szCs w:val="22"/>
            <w:lang w:val="en-AU" w:eastAsia="en-AU"/>
          </w:rPr>
          <w:tab/>
        </w:r>
        <w:r w:rsidR="00FA399E" w:rsidRPr="002F0D1F">
          <w:rPr>
            <w:rStyle w:val="Hyperlink"/>
          </w:rPr>
          <w:t>Historic Urban Landscapes</w:t>
        </w:r>
        <w:r w:rsidR="00FA399E">
          <w:rPr>
            <w:webHidden/>
          </w:rPr>
          <w:tab/>
        </w:r>
        <w:r w:rsidR="00FA399E">
          <w:rPr>
            <w:webHidden/>
          </w:rPr>
          <w:fldChar w:fldCharType="begin"/>
        </w:r>
        <w:r w:rsidR="00FA399E">
          <w:rPr>
            <w:webHidden/>
          </w:rPr>
          <w:instrText xml:space="preserve"> PAGEREF _Toc522766146 \h </w:instrText>
        </w:r>
        <w:r w:rsidR="00FA399E">
          <w:rPr>
            <w:webHidden/>
          </w:rPr>
        </w:r>
        <w:r w:rsidR="00FA399E">
          <w:rPr>
            <w:webHidden/>
          </w:rPr>
          <w:fldChar w:fldCharType="separate"/>
        </w:r>
        <w:r w:rsidR="003E105F">
          <w:rPr>
            <w:webHidden/>
          </w:rPr>
          <w:t>11</w:t>
        </w:r>
        <w:r w:rsidR="00FA399E">
          <w:rPr>
            <w:webHidden/>
          </w:rPr>
          <w:fldChar w:fldCharType="end"/>
        </w:r>
      </w:hyperlink>
    </w:p>
    <w:p w14:paraId="314846F5" w14:textId="615473CC" w:rsidR="00FA399E" w:rsidRDefault="00771B10">
      <w:pPr>
        <w:pStyle w:val="TOC1"/>
        <w:rPr>
          <w:rFonts w:eastAsiaTheme="minorEastAsia" w:cstheme="minorBidi"/>
          <w:b w:val="0"/>
          <w:kern w:val="0"/>
          <w:sz w:val="22"/>
          <w:szCs w:val="22"/>
          <w:lang w:eastAsia="en-AU"/>
        </w:rPr>
      </w:pPr>
      <w:hyperlink w:anchor="_Toc522766147" w:history="1">
        <w:r w:rsidR="00FA399E" w:rsidRPr="002F0D1F">
          <w:rPr>
            <w:rStyle w:val="Hyperlink"/>
          </w:rPr>
          <w:t>4.0</w:t>
        </w:r>
        <w:r w:rsidR="00FA399E">
          <w:rPr>
            <w:rFonts w:eastAsiaTheme="minorEastAsia" w:cstheme="minorBidi"/>
            <w:b w:val="0"/>
            <w:kern w:val="0"/>
            <w:sz w:val="22"/>
            <w:szCs w:val="22"/>
            <w:lang w:eastAsia="en-AU"/>
          </w:rPr>
          <w:tab/>
        </w:r>
        <w:r w:rsidR="00FA399E" w:rsidRPr="002F0D1F">
          <w:rPr>
            <w:rStyle w:val="Hyperlink"/>
          </w:rPr>
          <w:t>Local context – the City of Port Phillip</w:t>
        </w:r>
        <w:r w:rsidR="00FA399E">
          <w:rPr>
            <w:webHidden/>
          </w:rPr>
          <w:tab/>
        </w:r>
        <w:r w:rsidR="00FA399E">
          <w:rPr>
            <w:webHidden/>
          </w:rPr>
          <w:fldChar w:fldCharType="begin"/>
        </w:r>
        <w:r w:rsidR="00FA399E">
          <w:rPr>
            <w:webHidden/>
          </w:rPr>
          <w:instrText xml:space="preserve"> PAGEREF _Toc522766147 \h </w:instrText>
        </w:r>
        <w:r w:rsidR="00FA399E">
          <w:rPr>
            <w:webHidden/>
          </w:rPr>
        </w:r>
        <w:r w:rsidR="00FA399E">
          <w:rPr>
            <w:webHidden/>
          </w:rPr>
          <w:fldChar w:fldCharType="separate"/>
        </w:r>
        <w:r w:rsidR="003E105F">
          <w:rPr>
            <w:webHidden/>
          </w:rPr>
          <w:t>14</w:t>
        </w:r>
        <w:r w:rsidR="00FA399E">
          <w:rPr>
            <w:webHidden/>
          </w:rPr>
          <w:fldChar w:fldCharType="end"/>
        </w:r>
      </w:hyperlink>
    </w:p>
    <w:p w14:paraId="3CD6E538" w14:textId="7FE5A53A" w:rsidR="00FA399E" w:rsidRDefault="00771B10">
      <w:pPr>
        <w:pStyle w:val="TOC2"/>
        <w:rPr>
          <w:rFonts w:eastAsiaTheme="minorEastAsia" w:cstheme="minorBidi"/>
          <w:sz w:val="22"/>
          <w:szCs w:val="22"/>
          <w:lang w:val="en-AU" w:eastAsia="en-AU"/>
        </w:rPr>
      </w:pPr>
      <w:hyperlink w:anchor="_Toc522766148" w:history="1">
        <w:r w:rsidR="00FA399E" w:rsidRPr="002F0D1F">
          <w:rPr>
            <w:rStyle w:val="Hyperlink"/>
          </w:rPr>
          <w:t>4.1</w:t>
        </w:r>
        <w:r w:rsidR="00FA399E">
          <w:rPr>
            <w:rFonts w:eastAsiaTheme="minorEastAsia" w:cstheme="minorBidi"/>
            <w:sz w:val="22"/>
            <w:szCs w:val="22"/>
            <w:lang w:val="en-AU" w:eastAsia="en-AU"/>
          </w:rPr>
          <w:tab/>
        </w:r>
        <w:r w:rsidR="00FA399E" w:rsidRPr="002F0D1F">
          <w:rPr>
            <w:rStyle w:val="Hyperlink"/>
          </w:rPr>
          <w:t>Municipal profile</w:t>
        </w:r>
        <w:r w:rsidR="00FA399E">
          <w:rPr>
            <w:webHidden/>
          </w:rPr>
          <w:tab/>
        </w:r>
        <w:r w:rsidR="00FA399E">
          <w:rPr>
            <w:webHidden/>
          </w:rPr>
          <w:fldChar w:fldCharType="begin"/>
        </w:r>
        <w:r w:rsidR="00FA399E">
          <w:rPr>
            <w:webHidden/>
          </w:rPr>
          <w:instrText xml:space="preserve"> PAGEREF _Toc522766148 \h </w:instrText>
        </w:r>
        <w:r w:rsidR="00FA399E">
          <w:rPr>
            <w:webHidden/>
          </w:rPr>
        </w:r>
        <w:r w:rsidR="00FA399E">
          <w:rPr>
            <w:webHidden/>
          </w:rPr>
          <w:fldChar w:fldCharType="separate"/>
        </w:r>
        <w:r w:rsidR="003E105F">
          <w:rPr>
            <w:webHidden/>
          </w:rPr>
          <w:t>14</w:t>
        </w:r>
        <w:r w:rsidR="00FA399E">
          <w:rPr>
            <w:webHidden/>
          </w:rPr>
          <w:fldChar w:fldCharType="end"/>
        </w:r>
      </w:hyperlink>
    </w:p>
    <w:p w14:paraId="1B24625F" w14:textId="3A4A3598" w:rsidR="00FA399E" w:rsidRDefault="00771B10">
      <w:pPr>
        <w:pStyle w:val="TOC2"/>
        <w:rPr>
          <w:rFonts w:eastAsiaTheme="minorEastAsia" w:cstheme="minorBidi"/>
          <w:sz w:val="22"/>
          <w:szCs w:val="22"/>
          <w:lang w:val="en-AU" w:eastAsia="en-AU"/>
        </w:rPr>
      </w:pPr>
      <w:hyperlink w:anchor="_Toc522766149" w:history="1">
        <w:r w:rsidR="00FA399E" w:rsidRPr="002F0D1F">
          <w:rPr>
            <w:rStyle w:val="Hyperlink"/>
          </w:rPr>
          <w:t>4.2</w:t>
        </w:r>
        <w:r w:rsidR="00FA399E">
          <w:rPr>
            <w:rFonts w:eastAsiaTheme="minorEastAsia" w:cstheme="minorBidi"/>
            <w:sz w:val="22"/>
            <w:szCs w:val="22"/>
            <w:lang w:val="en-AU" w:eastAsia="en-AU"/>
          </w:rPr>
          <w:tab/>
        </w:r>
        <w:r w:rsidR="00FA399E" w:rsidRPr="002F0D1F">
          <w:rPr>
            <w:rStyle w:val="Hyperlink"/>
          </w:rPr>
          <w:t>Limitations of the Planning Scheme</w:t>
        </w:r>
        <w:r w:rsidR="00FA399E">
          <w:rPr>
            <w:webHidden/>
          </w:rPr>
          <w:tab/>
        </w:r>
        <w:r w:rsidR="00FA399E">
          <w:rPr>
            <w:webHidden/>
          </w:rPr>
          <w:fldChar w:fldCharType="begin"/>
        </w:r>
        <w:r w:rsidR="00FA399E">
          <w:rPr>
            <w:webHidden/>
          </w:rPr>
          <w:instrText xml:space="preserve"> PAGEREF _Toc522766149 \h </w:instrText>
        </w:r>
        <w:r w:rsidR="00FA399E">
          <w:rPr>
            <w:webHidden/>
          </w:rPr>
        </w:r>
        <w:r w:rsidR="00FA399E">
          <w:rPr>
            <w:webHidden/>
          </w:rPr>
          <w:fldChar w:fldCharType="separate"/>
        </w:r>
        <w:r w:rsidR="003E105F">
          <w:rPr>
            <w:webHidden/>
          </w:rPr>
          <w:t>16</w:t>
        </w:r>
        <w:r w:rsidR="00FA399E">
          <w:rPr>
            <w:webHidden/>
          </w:rPr>
          <w:fldChar w:fldCharType="end"/>
        </w:r>
      </w:hyperlink>
    </w:p>
    <w:p w14:paraId="5DDEA5DC" w14:textId="56516D64" w:rsidR="00FA399E" w:rsidRDefault="00771B10">
      <w:pPr>
        <w:pStyle w:val="TOC2"/>
        <w:rPr>
          <w:rFonts w:eastAsiaTheme="minorEastAsia" w:cstheme="minorBidi"/>
          <w:sz w:val="22"/>
          <w:szCs w:val="22"/>
          <w:lang w:val="en-AU" w:eastAsia="en-AU"/>
        </w:rPr>
      </w:pPr>
      <w:hyperlink w:anchor="_Toc522766150" w:history="1">
        <w:r w:rsidR="00FA399E" w:rsidRPr="002F0D1F">
          <w:rPr>
            <w:rStyle w:val="Hyperlink"/>
          </w:rPr>
          <w:t>4.3</w:t>
        </w:r>
        <w:r w:rsidR="00FA399E">
          <w:rPr>
            <w:rFonts w:eastAsiaTheme="minorEastAsia" w:cstheme="minorBidi"/>
            <w:sz w:val="22"/>
            <w:szCs w:val="22"/>
            <w:lang w:val="en-AU" w:eastAsia="en-AU"/>
          </w:rPr>
          <w:tab/>
        </w:r>
        <w:r w:rsidR="00FA399E" w:rsidRPr="002F0D1F">
          <w:rPr>
            <w:rStyle w:val="Hyperlink"/>
          </w:rPr>
          <w:t>Social and economic impacts</w:t>
        </w:r>
        <w:r w:rsidR="00FA399E">
          <w:rPr>
            <w:webHidden/>
          </w:rPr>
          <w:tab/>
        </w:r>
        <w:r w:rsidR="00FA399E">
          <w:rPr>
            <w:webHidden/>
          </w:rPr>
          <w:fldChar w:fldCharType="begin"/>
        </w:r>
        <w:r w:rsidR="00FA399E">
          <w:rPr>
            <w:webHidden/>
          </w:rPr>
          <w:instrText xml:space="preserve"> PAGEREF _Toc522766150 \h </w:instrText>
        </w:r>
        <w:r w:rsidR="00FA399E">
          <w:rPr>
            <w:webHidden/>
          </w:rPr>
        </w:r>
        <w:r w:rsidR="00FA399E">
          <w:rPr>
            <w:webHidden/>
          </w:rPr>
          <w:fldChar w:fldCharType="separate"/>
        </w:r>
        <w:r w:rsidR="003E105F">
          <w:rPr>
            <w:webHidden/>
          </w:rPr>
          <w:t>17</w:t>
        </w:r>
        <w:r w:rsidR="00FA399E">
          <w:rPr>
            <w:webHidden/>
          </w:rPr>
          <w:fldChar w:fldCharType="end"/>
        </w:r>
      </w:hyperlink>
    </w:p>
    <w:p w14:paraId="418DD079" w14:textId="4EF95829" w:rsidR="00FA399E" w:rsidRDefault="00771B10">
      <w:pPr>
        <w:pStyle w:val="TOC2"/>
        <w:rPr>
          <w:rFonts w:eastAsiaTheme="minorEastAsia" w:cstheme="minorBidi"/>
          <w:sz w:val="22"/>
          <w:szCs w:val="22"/>
          <w:lang w:val="en-AU" w:eastAsia="en-AU"/>
        </w:rPr>
      </w:pPr>
      <w:hyperlink w:anchor="_Toc522766151" w:history="1">
        <w:r w:rsidR="00FA399E" w:rsidRPr="002F0D1F">
          <w:rPr>
            <w:rStyle w:val="Hyperlink"/>
          </w:rPr>
          <w:t>4.4</w:t>
        </w:r>
        <w:r w:rsidR="00FA399E">
          <w:rPr>
            <w:rFonts w:eastAsiaTheme="minorEastAsia" w:cstheme="minorBidi"/>
            <w:sz w:val="22"/>
            <w:szCs w:val="22"/>
            <w:lang w:val="en-AU" w:eastAsia="en-AU"/>
          </w:rPr>
          <w:tab/>
        </w:r>
        <w:r w:rsidR="00FA399E" w:rsidRPr="002F0D1F">
          <w:rPr>
            <w:rStyle w:val="Hyperlink"/>
          </w:rPr>
          <w:t>Port Phillip Heritage Review</w:t>
        </w:r>
        <w:r w:rsidR="00FA399E">
          <w:rPr>
            <w:webHidden/>
          </w:rPr>
          <w:tab/>
        </w:r>
        <w:r w:rsidR="00FA399E">
          <w:rPr>
            <w:webHidden/>
          </w:rPr>
          <w:fldChar w:fldCharType="begin"/>
        </w:r>
        <w:r w:rsidR="00FA399E">
          <w:rPr>
            <w:webHidden/>
          </w:rPr>
          <w:instrText xml:space="preserve"> PAGEREF _Toc522766151 \h </w:instrText>
        </w:r>
        <w:r w:rsidR="00FA399E">
          <w:rPr>
            <w:webHidden/>
          </w:rPr>
        </w:r>
        <w:r w:rsidR="00FA399E">
          <w:rPr>
            <w:webHidden/>
          </w:rPr>
          <w:fldChar w:fldCharType="separate"/>
        </w:r>
        <w:r w:rsidR="003E105F">
          <w:rPr>
            <w:webHidden/>
          </w:rPr>
          <w:t>18</w:t>
        </w:r>
        <w:r w:rsidR="00FA399E">
          <w:rPr>
            <w:webHidden/>
          </w:rPr>
          <w:fldChar w:fldCharType="end"/>
        </w:r>
      </w:hyperlink>
    </w:p>
    <w:p w14:paraId="78838CD8" w14:textId="0244FEB0" w:rsidR="00FA399E" w:rsidRDefault="00771B10">
      <w:pPr>
        <w:pStyle w:val="TOC2"/>
        <w:rPr>
          <w:rFonts w:eastAsiaTheme="minorEastAsia" w:cstheme="minorBidi"/>
          <w:sz w:val="22"/>
          <w:szCs w:val="22"/>
          <w:lang w:val="en-AU" w:eastAsia="en-AU"/>
        </w:rPr>
      </w:pPr>
      <w:hyperlink w:anchor="_Toc522766152" w:history="1">
        <w:r w:rsidR="00FA399E" w:rsidRPr="002F0D1F">
          <w:rPr>
            <w:rStyle w:val="Hyperlink"/>
          </w:rPr>
          <w:t>4.5</w:t>
        </w:r>
        <w:r w:rsidR="00FA399E">
          <w:rPr>
            <w:rFonts w:eastAsiaTheme="minorEastAsia" w:cstheme="minorBidi"/>
            <w:sz w:val="22"/>
            <w:szCs w:val="22"/>
            <w:lang w:val="en-AU" w:eastAsia="en-AU"/>
          </w:rPr>
          <w:tab/>
        </w:r>
        <w:r w:rsidR="00FA399E" w:rsidRPr="002F0D1F">
          <w:rPr>
            <w:rStyle w:val="Hyperlink"/>
          </w:rPr>
          <w:t>Related processes – Council activities</w:t>
        </w:r>
        <w:r w:rsidR="00FA399E">
          <w:rPr>
            <w:webHidden/>
          </w:rPr>
          <w:tab/>
        </w:r>
        <w:r w:rsidR="00FA399E">
          <w:rPr>
            <w:webHidden/>
          </w:rPr>
          <w:fldChar w:fldCharType="begin"/>
        </w:r>
        <w:r w:rsidR="00FA399E">
          <w:rPr>
            <w:webHidden/>
          </w:rPr>
          <w:instrText xml:space="preserve"> PAGEREF _Toc522766152 \h </w:instrText>
        </w:r>
        <w:r w:rsidR="00FA399E">
          <w:rPr>
            <w:webHidden/>
          </w:rPr>
        </w:r>
        <w:r w:rsidR="00FA399E">
          <w:rPr>
            <w:webHidden/>
          </w:rPr>
          <w:fldChar w:fldCharType="separate"/>
        </w:r>
        <w:r w:rsidR="003E105F">
          <w:rPr>
            <w:webHidden/>
          </w:rPr>
          <w:t>18</w:t>
        </w:r>
        <w:r w:rsidR="00FA399E">
          <w:rPr>
            <w:webHidden/>
          </w:rPr>
          <w:fldChar w:fldCharType="end"/>
        </w:r>
      </w:hyperlink>
    </w:p>
    <w:p w14:paraId="69BF20F8" w14:textId="00395905" w:rsidR="00FA399E" w:rsidRDefault="00771B10">
      <w:pPr>
        <w:pStyle w:val="TOC3"/>
        <w:tabs>
          <w:tab w:val="left" w:pos="1702"/>
        </w:tabs>
        <w:rPr>
          <w:rFonts w:eastAsiaTheme="minorEastAsia" w:cstheme="minorBidi"/>
          <w:kern w:val="0"/>
          <w:sz w:val="22"/>
          <w:szCs w:val="22"/>
          <w:lang w:eastAsia="en-AU"/>
        </w:rPr>
      </w:pPr>
      <w:hyperlink w:anchor="_Toc522766153" w:history="1">
        <w:r w:rsidR="00FA399E" w:rsidRPr="002F0D1F">
          <w:rPr>
            <w:rStyle w:val="Hyperlink"/>
            <w:rFonts w:ascii="Calibri" w:hAnsi="Calibri"/>
          </w:rPr>
          <w:t>4.5.1</w:t>
        </w:r>
        <w:r w:rsidR="00FA399E">
          <w:rPr>
            <w:rFonts w:eastAsiaTheme="minorEastAsia" w:cstheme="minorBidi"/>
            <w:kern w:val="0"/>
            <w:sz w:val="22"/>
            <w:szCs w:val="22"/>
            <w:lang w:eastAsia="en-AU"/>
          </w:rPr>
          <w:tab/>
        </w:r>
        <w:r w:rsidR="00FA399E" w:rsidRPr="002F0D1F">
          <w:rPr>
            <w:rStyle w:val="Hyperlink"/>
          </w:rPr>
          <w:t>City of Port Phillip Heritage Recognition Program</w:t>
        </w:r>
        <w:r w:rsidR="00FA399E">
          <w:rPr>
            <w:webHidden/>
          </w:rPr>
          <w:tab/>
        </w:r>
        <w:r w:rsidR="00FA399E">
          <w:rPr>
            <w:webHidden/>
          </w:rPr>
          <w:fldChar w:fldCharType="begin"/>
        </w:r>
        <w:r w:rsidR="00FA399E">
          <w:rPr>
            <w:webHidden/>
          </w:rPr>
          <w:instrText xml:space="preserve"> PAGEREF _Toc522766153 \h </w:instrText>
        </w:r>
        <w:r w:rsidR="00FA399E">
          <w:rPr>
            <w:webHidden/>
          </w:rPr>
        </w:r>
        <w:r w:rsidR="00FA399E">
          <w:rPr>
            <w:webHidden/>
          </w:rPr>
          <w:fldChar w:fldCharType="separate"/>
        </w:r>
        <w:r w:rsidR="003E105F">
          <w:rPr>
            <w:webHidden/>
          </w:rPr>
          <w:t>18</w:t>
        </w:r>
        <w:r w:rsidR="00FA399E">
          <w:rPr>
            <w:webHidden/>
          </w:rPr>
          <w:fldChar w:fldCharType="end"/>
        </w:r>
      </w:hyperlink>
    </w:p>
    <w:p w14:paraId="6460B683" w14:textId="59B46C50" w:rsidR="00FA399E" w:rsidRDefault="00771B10">
      <w:pPr>
        <w:pStyle w:val="TOC3"/>
        <w:tabs>
          <w:tab w:val="left" w:pos="1702"/>
        </w:tabs>
        <w:rPr>
          <w:rFonts w:eastAsiaTheme="minorEastAsia" w:cstheme="minorBidi"/>
          <w:kern w:val="0"/>
          <w:sz w:val="22"/>
          <w:szCs w:val="22"/>
          <w:lang w:eastAsia="en-AU"/>
        </w:rPr>
      </w:pPr>
      <w:hyperlink w:anchor="_Toc522766154" w:history="1">
        <w:r w:rsidR="00FA399E" w:rsidRPr="002F0D1F">
          <w:rPr>
            <w:rStyle w:val="Hyperlink"/>
            <w:rFonts w:ascii="Calibri" w:hAnsi="Calibri"/>
          </w:rPr>
          <w:t>4.5.2</w:t>
        </w:r>
        <w:r w:rsidR="00FA399E">
          <w:rPr>
            <w:rFonts w:eastAsiaTheme="minorEastAsia" w:cstheme="minorBidi"/>
            <w:kern w:val="0"/>
            <w:sz w:val="22"/>
            <w:szCs w:val="22"/>
            <w:lang w:eastAsia="en-AU"/>
          </w:rPr>
          <w:tab/>
        </w:r>
        <w:r w:rsidR="00FA399E" w:rsidRPr="002F0D1F">
          <w:rPr>
            <w:rStyle w:val="Hyperlink"/>
          </w:rPr>
          <w:t>City of Port Phillip percent for art scheme</w:t>
        </w:r>
        <w:r w:rsidR="00FA399E">
          <w:rPr>
            <w:webHidden/>
          </w:rPr>
          <w:tab/>
        </w:r>
        <w:r w:rsidR="00FA399E">
          <w:rPr>
            <w:webHidden/>
          </w:rPr>
          <w:fldChar w:fldCharType="begin"/>
        </w:r>
        <w:r w:rsidR="00FA399E">
          <w:rPr>
            <w:webHidden/>
          </w:rPr>
          <w:instrText xml:space="preserve"> PAGEREF _Toc522766154 \h </w:instrText>
        </w:r>
        <w:r w:rsidR="00FA399E">
          <w:rPr>
            <w:webHidden/>
          </w:rPr>
        </w:r>
        <w:r w:rsidR="00FA399E">
          <w:rPr>
            <w:webHidden/>
          </w:rPr>
          <w:fldChar w:fldCharType="separate"/>
        </w:r>
        <w:r w:rsidR="003E105F">
          <w:rPr>
            <w:webHidden/>
          </w:rPr>
          <w:t>18</w:t>
        </w:r>
        <w:r w:rsidR="00FA399E">
          <w:rPr>
            <w:webHidden/>
          </w:rPr>
          <w:fldChar w:fldCharType="end"/>
        </w:r>
      </w:hyperlink>
    </w:p>
    <w:p w14:paraId="6D46B96C" w14:textId="5C8E54DC" w:rsidR="00FA399E" w:rsidRDefault="00771B10">
      <w:pPr>
        <w:pStyle w:val="TOC3"/>
        <w:tabs>
          <w:tab w:val="left" w:pos="1702"/>
        </w:tabs>
        <w:rPr>
          <w:rFonts w:eastAsiaTheme="minorEastAsia" w:cstheme="minorBidi"/>
          <w:kern w:val="0"/>
          <w:sz w:val="22"/>
          <w:szCs w:val="22"/>
          <w:lang w:eastAsia="en-AU"/>
        </w:rPr>
      </w:pPr>
      <w:hyperlink w:anchor="_Toc522766155" w:history="1">
        <w:r w:rsidR="00FA399E" w:rsidRPr="002F0D1F">
          <w:rPr>
            <w:rStyle w:val="Hyperlink"/>
            <w:rFonts w:ascii="Calibri" w:hAnsi="Calibri"/>
          </w:rPr>
          <w:t>4.5.3</w:t>
        </w:r>
        <w:r w:rsidR="00FA399E">
          <w:rPr>
            <w:rFonts w:eastAsiaTheme="minorEastAsia" w:cstheme="minorBidi"/>
            <w:kern w:val="0"/>
            <w:sz w:val="22"/>
            <w:szCs w:val="22"/>
            <w:lang w:eastAsia="en-AU"/>
          </w:rPr>
          <w:tab/>
        </w:r>
        <w:r w:rsidR="00FA399E" w:rsidRPr="002F0D1F">
          <w:rPr>
            <w:rStyle w:val="Hyperlink"/>
          </w:rPr>
          <w:t>Community grants</w:t>
        </w:r>
        <w:r w:rsidR="00FA399E">
          <w:rPr>
            <w:webHidden/>
          </w:rPr>
          <w:tab/>
        </w:r>
        <w:r w:rsidR="00FA399E">
          <w:rPr>
            <w:webHidden/>
          </w:rPr>
          <w:fldChar w:fldCharType="begin"/>
        </w:r>
        <w:r w:rsidR="00FA399E">
          <w:rPr>
            <w:webHidden/>
          </w:rPr>
          <w:instrText xml:space="preserve"> PAGEREF _Toc522766155 \h </w:instrText>
        </w:r>
        <w:r w:rsidR="00FA399E">
          <w:rPr>
            <w:webHidden/>
          </w:rPr>
        </w:r>
        <w:r w:rsidR="00FA399E">
          <w:rPr>
            <w:webHidden/>
          </w:rPr>
          <w:fldChar w:fldCharType="separate"/>
        </w:r>
        <w:r w:rsidR="003E105F">
          <w:rPr>
            <w:webHidden/>
          </w:rPr>
          <w:t>19</w:t>
        </w:r>
        <w:r w:rsidR="00FA399E">
          <w:rPr>
            <w:webHidden/>
          </w:rPr>
          <w:fldChar w:fldCharType="end"/>
        </w:r>
      </w:hyperlink>
    </w:p>
    <w:p w14:paraId="4D444B69" w14:textId="3661CB71" w:rsidR="00FA399E" w:rsidRDefault="00771B10">
      <w:pPr>
        <w:pStyle w:val="TOC1"/>
        <w:rPr>
          <w:rFonts w:eastAsiaTheme="minorEastAsia" w:cstheme="minorBidi"/>
          <w:b w:val="0"/>
          <w:kern w:val="0"/>
          <w:sz w:val="22"/>
          <w:szCs w:val="22"/>
          <w:lang w:eastAsia="en-AU"/>
        </w:rPr>
      </w:pPr>
      <w:hyperlink w:anchor="_Toc522766156" w:history="1">
        <w:r w:rsidR="00FA399E" w:rsidRPr="002F0D1F">
          <w:rPr>
            <w:rStyle w:val="Hyperlink"/>
          </w:rPr>
          <w:t>5.0</w:t>
        </w:r>
        <w:r w:rsidR="00FA399E">
          <w:rPr>
            <w:rFonts w:eastAsiaTheme="minorEastAsia" w:cstheme="minorBidi"/>
            <w:b w:val="0"/>
            <w:kern w:val="0"/>
            <w:sz w:val="22"/>
            <w:szCs w:val="22"/>
            <w:lang w:eastAsia="en-AU"/>
          </w:rPr>
          <w:tab/>
        </w:r>
        <w:r w:rsidR="00FA399E" w:rsidRPr="002F0D1F">
          <w:rPr>
            <w:rStyle w:val="Hyperlink"/>
          </w:rPr>
          <w:t>Social value</w:t>
        </w:r>
        <w:r w:rsidR="00FA399E">
          <w:rPr>
            <w:webHidden/>
          </w:rPr>
          <w:tab/>
        </w:r>
        <w:r w:rsidR="00FA399E">
          <w:rPr>
            <w:webHidden/>
          </w:rPr>
          <w:fldChar w:fldCharType="begin"/>
        </w:r>
        <w:r w:rsidR="00FA399E">
          <w:rPr>
            <w:webHidden/>
          </w:rPr>
          <w:instrText xml:space="preserve"> PAGEREF _Toc522766156 \h </w:instrText>
        </w:r>
        <w:r w:rsidR="00FA399E">
          <w:rPr>
            <w:webHidden/>
          </w:rPr>
        </w:r>
        <w:r w:rsidR="00FA399E">
          <w:rPr>
            <w:webHidden/>
          </w:rPr>
          <w:fldChar w:fldCharType="separate"/>
        </w:r>
        <w:r w:rsidR="003E105F">
          <w:rPr>
            <w:webHidden/>
          </w:rPr>
          <w:t>20</w:t>
        </w:r>
        <w:r w:rsidR="00FA399E">
          <w:rPr>
            <w:webHidden/>
          </w:rPr>
          <w:fldChar w:fldCharType="end"/>
        </w:r>
      </w:hyperlink>
    </w:p>
    <w:p w14:paraId="500DD9A1" w14:textId="3797F2B2" w:rsidR="00FA399E" w:rsidRDefault="00771B10">
      <w:pPr>
        <w:pStyle w:val="TOC2"/>
        <w:rPr>
          <w:rFonts w:eastAsiaTheme="minorEastAsia" w:cstheme="minorBidi"/>
          <w:sz w:val="22"/>
          <w:szCs w:val="22"/>
          <w:lang w:val="en-AU" w:eastAsia="en-AU"/>
        </w:rPr>
      </w:pPr>
      <w:hyperlink w:anchor="_Toc522766157" w:history="1">
        <w:r w:rsidR="00FA399E" w:rsidRPr="002F0D1F">
          <w:rPr>
            <w:rStyle w:val="Hyperlink"/>
          </w:rPr>
          <w:t>5.1</w:t>
        </w:r>
        <w:r w:rsidR="00FA399E">
          <w:rPr>
            <w:rFonts w:eastAsiaTheme="minorEastAsia" w:cstheme="minorBidi"/>
            <w:sz w:val="22"/>
            <w:szCs w:val="22"/>
            <w:lang w:val="en-AU" w:eastAsia="en-AU"/>
          </w:rPr>
          <w:tab/>
        </w:r>
        <w:r w:rsidR="00FA399E" w:rsidRPr="002F0D1F">
          <w:rPr>
            <w:rStyle w:val="Hyperlink"/>
          </w:rPr>
          <w:t>A revised approach to assessing and managing social value</w:t>
        </w:r>
        <w:r w:rsidR="00FA399E">
          <w:rPr>
            <w:webHidden/>
          </w:rPr>
          <w:tab/>
        </w:r>
        <w:r w:rsidR="00FA399E">
          <w:rPr>
            <w:webHidden/>
          </w:rPr>
          <w:fldChar w:fldCharType="begin"/>
        </w:r>
        <w:r w:rsidR="00FA399E">
          <w:rPr>
            <w:webHidden/>
          </w:rPr>
          <w:instrText xml:space="preserve"> PAGEREF _Toc522766157 \h </w:instrText>
        </w:r>
        <w:r w:rsidR="00FA399E">
          <w:rPr>
            <w:webHidden/>
          </w:rPr>
        </w:r>
        <w:r w:rsidR="00FA399E">
          <w:rPr>
            <w:webHidden/>
          </w:rPr>
          <w:fldChar w:fldCharType="separate"/>
        </w:r>
        <w:r w:rsidR="003E105F">
          <w:rPr>
            <w:webHidden/>
          </w:rPr>
          <w:t>20</w:t>
        </w:r>
        <w:r w:rsidR="00FA399E">
          <w:rPr>
            <w:webHidden/>
          </w:rPr>
          <w:fldChar w:fldCharType="end"/>
        </w:r>
      </w:hyperlink>
    </w:p>
    <w:p w14:paraId="3E62D133" w14:textId="37935F55" w:rsidR="00FA399E" w:rsidRDefault="00771B10">
      <w:pPr>
        <w:pStyle w:val="TOC1"/>
        <w:rPr>
          <w:rFonts w:eastAsiaTheme="minorEastAsia" w:cstheme="minorBidi"/>
          <w:b w:val="0"/>
          <w:kern w:val="0"/>
          <w:sz w:val="22"/>
          <w:szCs w:val="22"/>
          <w:lang w:eastAsia="en-AU"/>
        </w:rPr>
      </w:pPr>
      <w:hyperlink w:anchor="_Toc522766158" w:history="1">
        <w:r w:rsidR="00FA399E" w:rsidRPr="002F0D1F">
          <w:rPr>
            <w:rStyle w:val="Hyperlink"/>
          </w:rPr>
          <w:t>6.0</w:t>
        </w:r>
        <w:r w:rsidR="00FA399E">
          <w:rPr>
            <w:rFonts w:eastAsiaTheme="minorEastAsia" w:cstheme="minorBidi"/>
            <w:b w:val="0"/>
            <w:kern w:val="0"/>
            <w:sz w:val="22"/>
            <w:szCs w:val="22"/>
            <w:lang w:eastAsia="en-AU"/>
          </w:rPr>
          <w:tab/>
        </w:r>
        <w:r w:rsidR="00FA399E" w:rsidRPr="002F0D1F">
          <w:rPr>
            <w:rStyle w:val="Hyperlink"/>
          </w:rPr>
          <w:t>Findings</w:t>
        </w:r>
        <w:r w:rsidR="00FA399E">
          <w:rPr>
            <w:webHidden/>
          </w:rPr>
          <w:tab/>
        </w:r>
        <w:r w:rsidR="00FA399E">
          <w:rPr>
            <w:webHidden/>
          </w:rPr>
          <w:fldChar w:fldCharType="begin"/>
        </w:r>
        <w:r w:rsidR="00FA399E">
          <w:rPr>
            <w:webHidden/>
          </w:rPr>
          <w:instrText xml:space="preserve"> PAGEREF _Toc522766158 \h </w:instrText>
        </w:r>
        <w:r w:rsidR="00FA399E">
          <w:rPr>
            <w:webHidden/>
          </w:rPr>
        </w:r>
        <w:r w:rsidR="00FA399E">
          <w:rPr>
            <w:webHidden/>
          </w:rPr>
          <w:fldChar w:fldCharType="separate"/>
        </w:r>
        <w:r w:rsidR="003E105F">
          <w:rPr>
            <w:webHidden/>
          </w:rPr>
          <w:t>21</w:t>
        </w:r>
        <w:r w:rsidR="00FA399E">
          <w:rPr>
            <w:webHidden/>
          </w:rPr>
          <w:fldChar w:fldCharType="end"/>
        </w:r>
      </w:hyperlink>
    </w:p>
    <w:p w14:paraId="700077F4" w14:textId="0C7FE856" w:rsidR="00FA399E" w:rsidRDefault="00771B10">
      <w:pPr>
        <w:pStyle w:val="TOC2"/>
        <w:rPr>
          <w:rFonts w:eastAsiaTheme="minorEastAsia" w:cstheme="minorBidi"/>
          <w:sz w:val="22"/>
          <w:szCs w:val="22"/>
          <w:lang w:val="en-AU" w:eastAsia="en-AU"/>
        </w:rPr>
      </w:pPr>
      <w:hyperlink w:anchor="_Toc522766159" w:history="1">
        <w:r w:rsidR="00FA399E" w:rsidRPr="002F0D1F">
          <w:rPr>
            <w:rStyle w:val="Hyperlink"/>
          </w:rPr>
          <w:t>6.1</w:t>
        </w:r>
        <w:r w:rsidR="00FA399E">
          <w:rPr>
            <w:rFonts w:eastAsiaTheme="minorEastAsia" w:cstheme="minorBidi"/>
            <w:sz w:val="22"/>
            <w:szCs w:val="22"/>
            <w:lang w:val="en-AU" w:eastAsia="en-AU"/>
          </w:rPr>
          <w:tab/>
        </w:r>
        <w:r w:rsidR="00FA399E" w:rsidRPr="002F0D1F">
          <w:rPr>
            <w:rStyle w:val="Hyperlink"/>
          </w:rPr>
          <w:t>Typologies</w:t>
        </w:r>
        <w:r w:rsidR="00FA399E">
          <w:rPr>
            <w:webHidden/>
          </w:rPr>
          <w:tab/>
        </w:r>
        <w:r w:rsidR="00FA399E">
          <w:rPr>
            <w:webHidden/>
          </w:rPr>
          <w:fldChar w:fldCharType="begin"/>
        </w:r>
        <w:r w:rsidR="00FA399E">
          <w:rPr>
            <w:webHidden/>
          </w:rPr>
          <w:instrText xml:space="preserve"> PAGEREF _Toc522766159 \h </w:instrText>
        </w:r>
        <w:r w:rsidR="00FA399E">
          <w:rPr>
            <w:webHidden/>
          </w:rPr>
        </w:r>
        <w:r w:rsidR="00FA399E">
          <w:rPr>
            <w:webHidden/>
          </w:rPr>
          <w:fldChar w:fldCharType="separate"/>
        </w:r>
        <w:r w:rsidR="003E105F">
          <w:rPr>
            <w:webHidden/>
          </w:rPr>
          <w:t>21</w:t>
        </w:r>
        <w:r w:rsidR="00FA399E">
          <w:rPr>
            <w:webHidden/>
          </w:rPr>
          <w:fldChar w:fldCharType="end"/>
        </w:r>
      </w:hyperlink>
    </w:p>
    <w:p w14:paraId="5D06B118" w14:textId="15B512CC" w:rsidR="00FA399E" w:rsidRDefault="00771B10">
      <w:pPr>
        <w:pStyle w:val="TOC2"/>
        <w:rPr>
          <w:rFonts w:eastAsiaTheme="minorEastAsia" w:cstheme="minorBidi"/>
          <w:sz w:val="22"/>
          <w:szCs w:val="22"/>
          <w:lang w:val="en-AU" w:eastAsia="en-AU"/>
        </w:rPr>
      </w:pPr>
      <w:hyperlink w:anchor="_Toc522766160" w:history="1">
        <w:r w:rsidR="00FA399E" w:rsidRPr="002F0D1F">
          <w:rPr>
            <w:rStyle w:val="Hyperlink"/>
          </w:rPr>
          <w:t>6.2</w:t>
        </w:r>
        <w:r w:rsidR="00FA399E">
          <w:rPr>
            <w:rFonts w:eastAsiaTheme="minorEastAsia" w:cstheme="minorBidi"/>
            <w:sz w:val="22"/>
            <w:szCs w:val="22"/>
            <w:lang w:val="en-AU" w:eastAsia="en-AU"/>
          </w:rPr>
          <w:tab/>
        </w:r>
        <w:r w:rsidR="00FA399E" w:rsidRPr="002F0D1F">
          <w:rPr>
            <w:rStyle w:val="Hyperlink"/>
          </w:rPr>
          <w:t>Analysis of places identified</w:t>
        </w:r>
        <w:r w:rsidR="00FA399E">
          <w:rPr>
            <w:webHidden/>
          </w:rPr>
          <w:tab/>
        </w:r>
        <w:r w:rsidR="00FA399E">
          <w:rPr>
            <w:webHidden/>
          </w:rPr>
          <w:fldChar w:fldCharType="begin"/>
        </w:r>
        <w:r w:rsidR="00FA399E">
          <w:rPr>
            <w:webHidden/>
          </w:rPr>
          <w:instrText xml:space="preserve"> PAGEREF _Toc522766160 \h </w:instrText>
        </w:r>
        <w:r w:rsidR="00FA399E">
          <w:rPr>
            <w:webHidden/>
          </w:rPr>
        </w:r>
        <w:r w:rsidR="00FA399E">
          <w:rPr>
            <w:webHidden/>
          </w:rPr>
          <w:fldChar w:fldCharType="separate"/>
        </w:r>
        <w:r w:rsidR="003E105F">
          <w:rPr>
            <w:webHidden/>
          </w:rPr>
          <w:t>22</w:t>
        </w:r>
        <w:r w:rsidR="00FA399E">
          <w:rPr>
            <w:webHidden/>
          </w:rPr>
          <w:fldChar w:fldCharType="end"/>
        </w:r>
      </w:hyperlink>
    </w:p>
    <w:p w14:paraId="64C4BD75" w14:textId="0CC54838" w:rsidR="00FA399E" w:rsidRDefault="00771B10">
      <w:pPr>
        <w:pStyle w:val="TOC3"/>
        <w:tabs>
          <w:tab w:val="left" w:pos="1702"/>
        </w:tabs>
        <w:rPr>
          <w:rFonts w:eastAsiaTheme="minorEastAsia" w:cstheme="minorBidi"/>
          <w:kern w:val="0"/>
          <w:sz w:val="22"/>
          <w:szCs w:val="22"/>
          <w:lang w:eastAsia="en-AU"/>
        </w:rPr>
      </w:pPr>
      <w:hyperlink w:anchor="_Toc522766161" w:history="1">
        <w:r w:rsidR="00FA399E" w:rsidRPr="002F0D1F">
          <w:rPr>
            <w:rStyle w:val="Hyperlink"/>
            <w:rFonts w:ascii="Calibri" w:hAnsi="Calibri"/>
            <w:lang w:eastAsia="en-AU"/>
          </w:rPr>
          <w:t>6.2.1</w:t>
        </w:r>
        <w:r w:rsidR="00FA399E">
          <w:rPr>
            <w:rFonts w:eastAsiaTheme="minorEastAsia" w:cstheme="minorBidi"/>
            <w:kern w:val="0"/>
            <w:sz w:val="22"/>
            <w:szCs w:val="22"/>
            <w:lang w:eastAsia="en-AU"/>
          </w:rPr>
          <w:tab/>
        </w:r>
        <w:r w:rsidR="00FA399E" w:rsidRPr="002F0D1F">
          <w:rPr>
            <w:rStyle w:val="Hyperlink"/>
            <w:lang w:eastAsia="en-AU"/>
          </w:rPr>
          <w:t>Non-contributory places in HO precincts</w:t>
        </w:r>
        <w:r w:rsidR="00FA399E">
          <w:rPr>
            <w:webHidden/>
          </w:rPr>
          <w:tab/>
        </w:r>
        <w:r w:rsidR="00FA399E">
          <w:rPr>
            <w:webHidden/>
          </w:rPr>
          <w:fldChar w:fldCharType="begin"/>
        </w:r>
        <w:r w:rsidR="00FA399E">
          <w:rPr>
            <w:webHidden/>
          </w:rPr>
          <w:instrText xml:space="preserve"> PAGEREF _Toc522766161 \h </w:instrText>
        </w:r>
        <w:r w:rsidR="00FA399E">
          <w:rPr>
            <w:webHidden/>
          </w:rPr>
        </w:r>
        <w:r w:rsidR="00FA399E">
          <w:rPr>
            <w:webHidden/>
          </w:rPr>
          <w:fldChar w:fldCharType="separate"/>
        </w:r>
        <w:r w:rsidR="003E105F">
          <w:rPr>
            <w:webHidden/>
          </w:rPr>
          <w:t>26</w:t>
        </w:r>
        <w:r w:rsidR="00FA399E">
          <w:rPr>
            <w:webHidden/>
          </w:rPr>
          <w:fldChar w:fldCharType="end"/>
        </w:r>
      </w:hyperlink>
    </w:p>
    <w:p w14:paraId="6AA5263D" w14:textId="7B388B55" w:rsidR="00FA399E" w:rsidRDefault="00771B10">
      <w:pPr>
        <w:pStyle w:val="TOC3"/>
        <w:tabs>
          <w:tab w:val="left" w:pos="1702"/>
        </w:tabs>
        <w:rPr>
          <w:rFonts w:eastAsiaTheme="minorEastAsia" w:cstheme="minorBidi"/>
          <w:kern w:val="0"/>
          <w:sz w:val="22"/>
          <w:szCs w:val="22"/>
          <w:lang w:eastAsia="en-AU"/>
        </w:rPr>
      </w:pPr>
      <w:hyperlink w:anchor="_Toc522766162" w:history="1">
        <w:r w:rsidR="00FA399E" w:rsidRPr="002F0D1F">
          <w:rPr>
            <w:rStyle w:val="Hyperlink"/>
            <w:rFonts w:ascii="Calibri" w:hAnsi="Calibri"/>
            <w:lang w:eastAsia="en-AU"/>
          </w:rPr>
          <w:t>6.2.2</w:t>
        </w:r>
        <w:r w:rsidR="00FA399E">
          <w:rPr>
            <w:rFonts w:eastAsiaTheme="minorEastAsia" w:cstheme="minorBidi"/>
            <w:kern w:val="0"/>
            <w:sz w:val="22"/>
            <w:szCs w:val="22"/>
            <w:lang w:eastAsia="en-AU"/>
          </w:rPr>
          <w:tab/>
        </w:r>
        <w:r w:rsidR="00FA399E" w:rsidRPr="002F0D1F">
          <w:rPr>
            <w:rStyle w:val="Hyperlink"/>
            <w:lang w:eastAsia="en-AU"/>
          </w:rPr>
          <w:t>Places that are not subject to heritage controls</w:t>
        </w:r>
        <w:r w:rsidR="00FA399E">
          <w:rPr>
            <w:webHidden/>
          </w:rPr>
          <w:tab/>
        </w:r>
        <w:r w:rsidR="00FA399E">
          <w:rPr>
            <w:webHidden/>
          </w:rPr>
          <w:fldChar w:fldCharType="begin"/>
        </w:r>
        <w:r w:rsidR="00FA399E">
          <w:rPr>
            <w:webHidden/>
          </w:rPr>
          <w:instrText xml:space="preserve"> PAGEREF _Toc522766162 \h </w:instrText>
        </w:r>
        <w:r w:rsidR="00FA399E">
          <w:rPr>
            <w:webHidden/>
          </w:rPr>
        </w:r>
        <w:r w:rsidR="00FA399E">
          <w:rPr>
            <w:webHidden/>
          </w:rPr>
          <w:fldChar w:fldCharType="separate"/>
        </w:r>
        <w:r w:rsidR="003E105F">
          <w:rPr>
            <w:webHidden/>
          </w:rPr>
          <w:t>27</w:t>
        </w:r>
        <w:r w:rsidR="00FA399E">
          <w:rPr>
            <w:webHidden/>
          </w:rPr>
          <w:fldChar w:fldCharType="end"/>
        </w:r>
      </w:hyperlink>
    </w:p>
    <w:p w14:paraId="5CB8F236" w14:textId="78D1FF7E" w:rsidR="00FA399E" w:rsidRDefault="00771B10">
      <w:pPr>
        <w:pStyle w:val="TOC2"/>
        <w:rPr>
          <w:rFonts w:eastAsiaTheme="minorEastAsia" w:cstheme="minorBidi"/>
          <w:sz w:val="22"/>
          <w:szCs w:val="22"/>
          <w:lang w:val="en-AU" w:eastAsia="en-AU"/>
        </w:rPr>
      </w:pPr>
      <w:hyperlink w:anchor="_Toc522766163" w:history="1">
        <w:r w:rsidR="00FA399E" w:rsidRPr="002F0D1F">
          <w:rPr>
            <w:rStyle w:val="Hyperlink"/>
          </w:rPr>
          <w:t>6.3</w:t>
        </w:r>
        <w:r w:rsidR="00FA399E">
          <w:rPr>
            <w:rFonts w:eastAsiaTheme="minorEastAsia" w:cstheme="minorBidi"/>
            <w:sz w:val="22"/>
            <w:szCs w:val="22"/>
            <w:lang w:val="en-AU" w:eastAsia="en-AU"/>
          </w:rPr>
          <w:tab/>
        </w:r>
        <w:r w:rsidR="00FA399E" w:rsidRPr="002F0D1F">
          <w:rPr>
            <w:rStyle w:val="Hyperlink"/>
          </w:rPr>
          <w:t>What does ‘heritage’ mean to the people of Port Phillip in 2018?</w:t>
        </w:r>
        <w:r w:rsidR="00FA399E">
          <w:rPr>
            <w:webHidden/>
          </w:rPr>
          <w:tab/>
        </w:r>
        <w:r w:rsidR="00FA399E">
          <w:rPr>
            <w:webHidden/>
          </w:rPr>
          <w:fldChar w:fldCharType="begin"/>
        </w:r>
        <w:r w:rsidR="00FA399E">
          <w:rPr>
            <w:webHidden/>
          </w:rPr>
          <w:instrText xml:space="preserve"> PAGEREF _Toc522766163 \h </w:instrText>
        </w:r>
        <w:r w:rsidR="00FA399E">
          <w:rPr>
            <w:webHidden/>
          </w:rPr>
        </w:r>
        <w:r w:rsidR="00FA399E">
          <w:rPr>
            <w:webHidden/>
          </w:rPr>
          <w:fldChar w:fldCharType="separate"/>
        </w:r>
        <w:r w:rsidR="003E105F">
          <w:rPr>
            <w:webHidden/>
          </w:rPr>
          <w:t>28</w:t>
        </w:r>
        <w:r w:rsidR="00FA399E">
          <w:rPr>
            <w:webHidden/>
          </w:rPr>
          <w:fldChar w:fldCharType="end"/>
        </w:r>
      </w:hyperlink>
    </w:p>
    <w:p w14:paraId="3E30EBB7" w14:textId="58039FFC" w:rsidR="00FA399E" w:rsidRDefault="00771B10">
      <w:pPr>
        <w:pStyle w:val="TOC2"/>
        <w:rPr>
          <w:rFonts w:eastAsiaTheme="minorEastAsia" w:cstheme="minorBidi"/>
          <w:sz w:val="22"/>
          <w:szCs w:val="22"/>
          <w:lang w:val="en-AU" w:eastAsia="en-AU"/>
        </w:rPr>
      </w:pPr>
      <w:hyperlink w:anchor="_Toc522766164" w:history="1">
        <w:r w:rsidR="00FA399E" w:rsidRPr="002F0D1F">
          <w:rPr>
            <w:rStyle w:val="Hyperlink"/>
          </w:rPr>
          <w:t>6.4</w:t>
        </w:r>
        <w:r w:rsidR="00FA399E">
          <w:rPr>
            <w:rFonts w:eastAsiaTheme="minorEastAsia" w:cstheme="minorBidi"/>
            <w:sz w:val="22"/>
            <w:szCs w:val="22"/>
            <w:lang w:val="en-AU" w:eastAsia="en-AU"/>
          </w:rPr>
          <w:tab/>
        </w:r>
        <w:r w:rsidR="00FA399E" w:rsidRPr="002F0D1F">
          <w:rPr>
            <w:rStyle w:val="Hyperlink"/>
          </w:rPr>
          <w:t>What types of places are valued by the community, and why?</w:t>
        </w:r>
        <w:r w:rsidR="00FA399E">
          <w:rPr>
            <w:webHidden/>
          </w:rPr>
          <w:tab/>
        </w:r>
        <w:r w:rsidR="00FA399E">
          <w:rPr>
            <w:webHidden/>
          </w:rPr>
          <w:fldChar w:fldCharType="begin"/>
        </w:r>
        <w:r w:rsidR="00FA399E">
          <w:rPr>
            <w:webHidden/>
          </w:rPr>
          <w:instrText xml:space="preserve"> PAGEREF _Toc522766164 \h </w:instrText>
        </w:r>
        <w:r w:rsidR="00FA399E">
          <w:rPr>
            <w:webHidden/>
          </w:rPr>
        </w:r>
        <w:r w:rsidR="00FA399E">
          <w:rPr>
            <w:webHidden/>
          </w:rPr>
          <w:fldChar w:fldCharType="separate"/>
        </w:r>
        <w:r w:rsidR="003E105F">
          <w:rPr>
            <w:webHidden/>
          </w:rPr>
          <w:t>30</w:t>
        </w:r>
        <w:r w:rsidR="00FA399E">
          <w:rPr>
            <w:webHidden/>
          </w:rPr>
          <w:fldChar w:fldCharType="end"/>
        </w:r>
      </w:hyperlink>
    </w:p>
    <w:p w14:paraId="75CFAD1C" w14:textId="6763AF02" w:rsidR="00FA399E" w:rsidRDefault="00771B10">
      <w:pPr>
        <w:pStyle w:val="TOC2"/>
        <w:rPr>
          <w:rFonts w:eastAsiaTheme="minorEastAsia" w:cstheme="minorBidi"/>
          <w:sz w:val="22"/>
          <w:szCs w:val="22"/>
          <w:lang w:val="en-AU" w:eastAsia="en-AU"/>
        </w:rPr>
      </w:pPr>
      <w:hyperlink w:anchor="_Toc522766165" w:history="1">
        <w:r w:rsidR="00FA399E" w:rsidRPr="002F0D1F">
          <w:rPr>
            <w:rStyle w:val="Hyperlink"/>
          </w:rPr>
          <w:t>6.5</w:t>
        </w:r>
        <w:r w:rsidR="00FA399E">
          <w:rPr>
            <w:rFonts w:eastAsiaTheme="minorEastAsia" w:cstheme="minorBidi"/>
            <w:sz w:val="22"/>
            <w:szCs w:val="22"/>
            <w:lang w:val="en-AU" w:eastAsia="en-AU"/>
          </w:rPr>
          <w:tab/>
        </w:r>
        <w:r w:rsidR="00FA399E" w:rsidRPr="002F0D1F">
          <w:rPr>
            <w:rStyle w:val="Hyperlink"/>
          </w:rPr>
          <w:t>Places (typologies and specific examples) that are valued but not controlled</w:t>
        </w:r>
        <w:r w:rsidR="00FA399E">
          <w:rPr>
            <w:webHidden/>
          </w:rPr>
          <w:tab/>
        </w:r>
        <w:r w:rsidR="00FA399E">
          <w:rPr>
            <w:webHidden/>
          </w:rPr>
          <w:fldChar w:fldCharType="begin"/>
        </w:r>
        <w:r w:rsidR="00FA399E">
          <w:rPr>
            <w:webHidden/>
          </w:rPr>
          <w:instrText xml:space="preserve"> PAGEREF _Toc522766165 \h </w:instrText>
        </w:r>
        <w:r w:rsidR="00FA399E">
          <w:rPr>
            <w:webHidden/>
          </w:rPr>
        </w:r>
        <w:r w:rsidR="00FA399E">
          <w:rPr>
            <w:webHidden/>
          </w:rPr>
          <w:fldChar w:fldCharType="separate"/>
        </w:r>
        <w:r w:rsidR="003E105F">
          <w:rPr>
            <w:webHidden/>
          </w:rPr>
          <w:t>32</w:t>
        </w:r>
        <w:r w:rsidR="00FA399E">
          <w:rPr>
            <w:webHidden/>
          </w:rPr>
          <w:fldChar w:fldCharType="end"/>
        </w:r>
      </w:hyperlink>
    </w:p>
    <w:p w14:paraId="3B30FF03" w14:textId="39A899FA" w:rsidR="00FA399E" w:rsidRDefault="00771B10">
      <w:pPr>
        <w:pStyle w:val="TOC3"/>
        <w:tabs>
          <w:tab w:val="left" w:pos="1702"/>
        </w:tabs>
        <w:rPr>
          <w:rFonts w:eastAsiaTheme="minorEastAsia" w:cstheme="minorBidi"/>
          <w:kern w:val="0"/>
          <w:sz w:val="22"/>
          <w:szCs w:val="22"/>
          <w:lang w:eastAsia="en-AU"/>
        </w:rPr>
      </w:pPr>
      <w:hyperlink w:anchor="_Toc522766166" w:history="1">
        <w:r w:rsidR="00FA399E" w:rsidRPr="002F0D1F">
          <w:rPr>
            <w:rStyle w:val="Hyperlink"/>
            <w:rFonts w:ascii="Calibri" w:hAnsi="Calibri"/>
          </w:rPr>
          <w:t>6.5.1</w:t>
        </w:r>
        <w:r w:rsidR="00FA399E">
          <w:rPr>
            <w:rFonts w:eastAsiaTheme="minorEastAsia" w:cstheme="minorBidi"/>
            <w:kern w:val="0"/>
            <w:sz w:val="22"/>
            <w:szCs w:val="22"/>
            <w:lang w:eastAsia="en-AU"/>
          </w:rPr>
          <w:tab/>
        </w:r>
        <w:r w:rsidR="00FA399E" w:rsidRPr="002F0D1F">
          <w:rPr>
            <w:rStyle w:val="Hyperlink"/>
          </w:rPr>
          <w:t>Comment</w:t>
        </w:r>
        <w:r w:rsidR="00FA399E">
          <w:rPr>
            <w:webHidden/>
          </w:rPr>
          <w:tab/>
        </w:r>
        <w:r w:rsidR="00FA399E">
          <w:rPr>
            <w:webHidden/>
          </w:rPr>
          <w:fldChar w:fldCharType="begin"/>
        </w:r>
        <w:r w:rsidR="00FA399E">
          <w:rPr>
            <w:webHidden/>
          </w:rPr>
          <w:instrText xml:space="preserve"> PAGEREF _Toc522766166 \h </w:instrText>
        </w:r>
        <w:r w:rsidR="00FA399E">
          <w:rPr>
            <w:webHidden/>
          </w:rPr>
        </w:r>
        <w:r w:rsidR="00FA399E">
          <w:rPr>
            <w:webHidden/>
          </w:rPr>
          <w:fldChar w:fldCharType="separate"/>
        </w:r>
        <w:r w:rsidR="003E105F">
          <w:rPr>
            <w:webHidden/>
          </w:rPr>
          <w:t>33</w:t>
        </w:r>
        <w:r w:rsidR="00FA399E">
          <w:rPr>
            <w:webHidden/>
          </w:rPr>
          <w:fldChar w:fldCharType="end"/>
        </w:r>
      </w:hyperlink>
    </w:p>
    <w:p w14:paraId="61B3E909" w14:textId="58DEDEDC" w:rsidR="00FA399E" w:rsidRDefault="00771B10">
      <w:pPr>
        <w:pStyle w:val="TOC2"/>
        <w:rPr>
          <w:rFonts w:eastAsiaTheme="minorEastAsia" w:cstheme="minorBidi"/>
          <w:sz w:val="22"/>
          <w:szCs w:val="22"/>
          <w:lang w:val="en-AU" w:eastAsia="en-AU"/>
        </w:rPr>
      </w:pPr>
      <w:hyperlink w:anchor="_Toc522766167" w:history="1">
        <w:r w:rsidR="00FA399E" w:rsidRPr="002F0D1F">
          <w:rPr>
            <w:rStyle w:val="Hyperlink"/>
          </w:rPr>
          <w:t>6.6</w:t>
        </w:r>
        <w:r w:rsidR="00FA399E">
          <w:rPr>
            <w:rFonts w:eastAsiaTheme="minorEastAsia" w:cstheme="minorBidi"/>
            <w:sz w:val="22"/>
            <w:szCs w:val="22"/>
            <w:lang w:val="en-AU" w:eastAsia="en-AU"/>
          </w:rPr>
          <w:tab/>
        </w:r>
        <w:r w:rsidR="00FA399E" w:rsidRPr="002F0D1F">
          <w:rPr>
            <w:rStyle w:val="Hyperlink"/>
          </w:rPr>
          <w:t>Public appreciation of heritage controls and programs</w:t>
        </w:r>
        <w:r w:rsidR="00FA399E">
          <w:rPr>
            <w:webHidden/>
          </w:rPr>
          <w:tab/>
        </w:r>
        <w:r w:rsidR="00FA399E">
          <w:rPr>
            <w:webHidden/>
          </w:rPr>
          <w:fldChar w:fldCharType="begin"/>
        </w:r>
        <w:r w:rsidR="00FA399E">
          <w:rPr>
            <w:webHidden/>
          </w:rPr>
          <w:instrText xml:space="preserve"> PAGEREF _Toc522766167 \h </w:instrText>
        </w:r>
        <w:r w:rsidR="00FA399E">
          <w:rPr>
            <w:webHidden/>
          </w:rPr>
        </w:r>
        <w:r w:rsidR="00FA399E">
          <w:rPr>
            <w:webHidden/>
          </w:rPr>
          <w:fldChar w:fldCharType="separate"/>
        </w:r>
        <w:r w:rsidR="003E105F">
          <w:rPr>
            <w:webHidden/>
          </w:rPr>
          <w:t>33</w:t>
        </w:r>
        <w:r w:rsidR="00FA399E">
          <w:rPr>
            <w:webHidden/>
          </w:rPr>
          <w:fldChar w:fldCharType="end"/>
        </w:r>
      </w:hyperlink>
    </w:p>
    <w:p w14:paraId="4DFFDB08" w14:textId="3C66721D" w:rsidR="00FA399E" w:rsidRDefault="00771B10">
      <w:pPr>
        <w:pStyle w:val="TOC3"/>
        <w:tabs>
          <w:tab w:val="left" w:pos="1702"/>
        </w:tabs>
        <w:rPr>
          <w:rFonts w:eastAsiaTheme="minorEastAsia" w:cstheme="minorBidi"/>
          <w:kern w:val="0"/>
          <w:sz w:val="22"/>
          <w:szCs w:val="22"/>
          <w:lang w:eastAsia="en-AU"/>
        </w:rPr>
      </w:pPr>
      <w:hyperlink w:anchor="_Toc522766168" w:history="1">
        <w:r w:rsidR="00FA399E" w:rsidRPr="002F0D1F">
          <w:rPr>
            <w:rStyle w:val="Hyperlink"/>
            <w:rFonts w:ascii="Calibri" w:hAnsi="Calibri"/>
          </w:rPr>
          <w:t>6.6.1</w:t>
        </w:r>
        <w:r w:rsidR="00FA399E">
          <w:rPr>
            <w:rFonts w:eastAsiaTheme="minorEastAsia" w:cstheme="minorBidi"/>
            <w:kern w:val="0"/>
            <w:sz w:val="22"/>
            <w:szCs w:val="22"/>
            <w:lang w:eastAsia="en-AU"/>
          </w:rPr>
          <w:tab/>
        </w:r>
        <w:r w:rsidR="00FA399E" w:rsidRPr="002F0D1F">
          <w:rPr>
            <w:rStyle w:val="Hyperlink"/>
          </w:rPr>
          <w:t>Comment</w:t>
        </w:r>
        <w:r w:rsidR="00FA399E">
          <w:rPr>
            <w:webHidden/>
          </w:rPr>
          <w:tab/>
        </w:r>
        <w:r w:rsidR="00FA399E">
          <w:rPr>
            <w:webHidden/>
          </w:rPr>
          <w:fldChar w:fldCharType="begin"/>
        </w:r>
        <w:r w:rsidR="00FA399E">
          <w:rPr>
            <w:webHidden/>
          </w:rPr>
          <w:instrText xml:space="preserve"> PAGEREF _Toc522766168 \h </w:instrText>
        </w:r>
        <w:r w:rsidR="00FA399E">
          <w:rPr>
            <w:webHidden/>
          </w:rPr>
        </w:r>
        <w:r w:rsidR="00FA399E">
          <w:rPr>
            <w:webHidden/>
          </w:rPr>
          <w:fldChar w:fldCharType="separate"/>
        </w:r>
        <w:r w:rsidR="003E105F">
          <w:rPr>
            <w:webHidden/>
          </w:rPr>
          <w:t>34</w:t>
        </w:r>
        <w:r w:rsidR="00FA399E">
          <w:rPr>
            <w:webHidden/>
          </w:rPr>
          <w:fldChar w:fldCharType="end"/>
        </w:r>
      </w:hyperlink>
    </w:p>
    <w:p w14:paraId="6B8296CC" w14:textId="19A7E8D4" w:rsidR="00FA399E" w:rsidRDefault="00771B10">
      <w:pPr>
        <w:pStyle w:val="TOC2"/>
        <w:rPr>
          <w:rFonts w:eastAsiaTheme="minorEastAsia" w:cstheme="minorBidi"/>
          <w:sz w:val="22"/>
          <w:szCs w:val="22"/>
          <w:lang w:val="en-AU" w:eastAsia="en-AU"/>
        </w:rPr>
      </w:pPr>
      <w:hyperlink w:anchor="_Toc522766169" w:history="1">
        <w:r w:rsidR="00FA399E" w:rsidRPr="002F0D1F">
          <w:rPr>
            <w:rStyle w:val="Hyperlink"/>
          </w:rPr>
          <w:t>6.7</w:t>
        </w:r>
        <w:r w:rsidR="00FA399E">
          <w:rPr>
            <w:rFonts w:eastAsiaTheme="minorEastAsia" w:cstheme="minorBidi"/>
            <w:sz w:val="22"/>
            <w:szCs w:val="22"/>
            <w:lang w:val="en-AU" w:eastAsia="en-AU"/>
          </w:rPr>
          <w:tab/>
        </w:r>
        <w:r w:rsidR="00FA399E" w:rsidRPr="002F0D1F">
          <w:rPr>
            <w:rStyle w:val="Hyperlink"/>
          </w:rPr>
          <w:t>What more can Council do to identify, protect and celebrate heritage?</w:t>
        </w:r>
        <w:r w:rsidR="00FA399E">
          <w:rPr>
            <w:webHidden/>
          </w:rPr>
          <w:tab/>
        </w:r>
        <w:r w:rsidR="00FA399E">
          <w:rPr>
            <w:webHidden/>
          </w:rPr>
          <w:fldChar w:fldCharType="begin"/>
        </w:r>
        <w:r w:rsidR="00FA399E">
          <w:rPr>
            <w:webHidden/>
          </w:rPr>
          <w:instrText xml:space="preserve"> PAGEREF _Toc522766169 \h </w:instrText>
        </w:r>
        <w:r w:rsidR="00FA399E">
          <w:rPr>
            <w:webHidden/>
          </w:rPr>
        </w:r>
        <w:r w:rsidR="00FA399E">
          <w:rPr>
            <w:webHidden/>
          </w:rPr>
          <w:fldChar w:fldCharType="separate"/>
        </w:r>
        <w:r w:rsidR="003E105F">
          <w:rPr>
            <w:webHidden/>
          </w:rPr>
          <w:t>35</w:t>
        </w:r>
        <w:r w:rsidR="00FA399E">
          <w:rPr>
            <w:webHidden/>
          </w:rPr>
          <w:fldChar w:fldCharType="end"/>
        </w:r>
      </w:hyperlink>
    </w:p>
    <w:p w14:paraId="0BE00899" w14:textId="466B3C7F" w:rsidR="00FA399E" w:rsidRDefault="00771B10">
      <w:pPr>
        <w:pStyle w:val="TOC3"/>
        <w:tabs>
          <w:tab w:val="left" w:pos="1702"/>
        </w:tabs>
        <w:rPr>
          <w:rFonts w:eastAsiaTheme="minorEastAsia" w:cstheme="minorBidi"/>
          <w:kern w:val="0"/>
          <w:sz w:val="22"/>
          <w:szCs w:val="22"/>
          <w:lang w:eastAsia="en-AU"/>
        </w:rPr>
      </w:pPr>
      <w:hyperlink w:anchor="_Toc522766170" w:history="1">
        <w:r w:rsidR="00FA399E" w:rsidRPr="002F0D1F">
          <w:rPr>
            <w:rStyle w:val="Hyperlink"/>
            <w:rFonts w:ascii="Calibri" w:hAnsi="Calibri"/>
          </w:rPr>
          <w:t>6.7.1</w:t>
        </w:r>
        <w:r w:rsidR="00FA399E">
          <w:rPr>
            <w:rFonts w:eastAsiaTheme="minorEastAsia" w:cstheme="minorBidi"/>
            <w:kern w:val="0"/>
            <w:sz w:val="22"/>
            <w:szCs w:val="22"/>
            <w:lang w:eastAsia="en-AU"/>
          </w:rPr>
          <w:tab/>
        </w:r>
        <w:r w:rsidR="00FA399E" w:rsidRPr="002F0D1F">
          <w:rPr>
            <w:rStyle w:val="Hyperlink"/>
          </w:rPr>
          <w:t>Comment</w:t>
        </w:r>
        <w:r w:rsidR="00FA399E">
          <w:rPr>
            <w:webHidden/>
          </w:rPr>
          <w:tab/>
        </w:r>
        <w:r w:rsidR="00FA399E">
          <w:rPr>
            <w:webHidden/>
          </w:rPr>
          <w:fldChar w:fldCharType="begin"/>
        </w:r>
        <w:r w:rsidR="00FA399E">
          <w:rPr>
            <w:webHidden/>
          </w:rPr>
          <w:instrText xml:space="preserve"> PAGEREF _Toc522766170 \h </w:instrText>
        </w:r>
        <w:r w:rsidR="00FA399E">
          <w:rPr>
            <w:webHidden/>
          </w:rPr>
        </w:r>
        <w:r w:rsidR="00FA399E">
          <w:rPr>
            <w:webHidden/>
          </w:rPr>
          <w:fldChar w:fldCharType="separate"/>
        </w:r>
        <w:r w:rsidR="003E105F">
          <w:rPr>
            <w:webHidden/>
          </w:rPr>
          <w:t>36</w:t>
        </w:r>
        <w:r w:rsidR="00FA399E">
          <w:rPr>
            <w:webHidden/>
          </w:rPr>
          <w:fldChar w:fldCharType="end"/>
        </w:r>
      </w:hyperlink>
    </w:p>
    <w:p w14:paraId="2CB68C0E" w14:textId="6D967FDD" w:rsidR="00FA399E" w:rsidRDefault="00771B10">
      <w:pPr>
        <w:pStyle w:val="TOC1"/>
        <w:rPr>
          <w:rFonts w:eastAsiaTheme="minorEastAsia" w:cstheme="minorBidi"/>
          <w:b w:val="0"/>
          <w:kern w:val="0"/>
          <w:sz w:val="22"/>
          <w:szCs w:val="22"/>
          <w:lang w:eastAsia="en-AU"/>
        </w:rPr>
      </w:pPr>
      <w:hyperlink w:anchor="_Toc522766171" w:history="1">
        <w:r w:rsidR="00FA399E" w:rsidRPr="002F0D1F">
          <w:rPr>
            <w:rStyle w:val="Hyperlink"/>
          </w:rPr>
          <w:t>7.0</w:t>
        </w:r>
        <w:r w:rsidR="00FA399E">
          <w:rPr>
            <w:rFonts w:eastAsiaTheme="minorEastAsia" w:cstheme="minorBidi"/>
            <w:b w:val="0"/>
            <w:kern w:val="0"/>
            <w:sz w:val="22"/>
            <w:szCs w:val="22"/>
            <w:lang w:eastAsia="en-AU"/>
          </w:rPr>
          <w:tab/>
        </w:r>
        <w:r w:rsidR="00FA399E" w:rsidRPr="002F0D1F">
          <w:rPr>
            <w:rStyle w:val="Hyperlink"/>
          </w:rPr>
          <w:t>Recommendations</w:t>
        </w:r>
        <w:r w:rsidR="00FA399E">
          <w:rPr>
            <w:webHidden/>
          </w:rPr>
          <w:tab/>
        </w:r>
        <w:r w:rsidR="00FA399E">
          <w:rPr>
            <w:webHidden/>
          </w:rPr>
          <w:fldChar w:fldCharType="begin"/>
        </w:r>
        <w:r w:rsidR="00FA399E">
          <w:rPr>
            <w:webHidden/>
          </w:rPr>
          <w:instrText xml:space="preserve"> PAGEREF _Toc522766171 \h </w:instrText>
        </w:r>
        <w:r w:rsidR="00FA399E">
          <w:rPr>
            <w:webHidden/>
          </w:rPr>
        </w:r>
        <w:r w:rsidR="00FA399E">
          <w:rPr>
            <w:webHidden/>
          </w:rPr>
          <w:fldChar w:fldCharType="separate"/>
        </w:r>
        <w:r w:rsidR="003E105F">
          <w:rPr>
            <w:webHidden/>
          </w:rPr>
          <w:t>36</w:t>
        </w:r>
        <w:r w:rsidR="00FA399E">
          <w:rPr>
            <w:webHidden/>
          </w:rPr>
          <w:fldChar w:fldCharType="end"/>
        </w:r>
      </w:hyperlink>
    </w:p>
    <w:p w14:paraId="7227D0F2" w14:textId="3B976647" w:rsidR="00FA399E" w:rsidRDefault="00771B10">
      <w:pPr>
        <w:pStyle w:val="TOC2"/>
        <w:rPr>
          <w:rFonts w:eastAsiaTheme="minorEastAsia" w:cstheme="minorBidi"/>
          <w:sz w:val="22"/>
          <w:szCs w:val="22"/>
          <w:lang w:val="en-AU" w:eastAsia="en-AU"/>
        </w:rPr>
      </w:pPr>
      <w:hyperlink w:anchor="_Toc522766172" w:history="1">
        <w:r w:rsidR="00FA399E" w:rsidRPr="002F0D1F">
          <w:rPr>
            <w:rStyle w:val="Hyperlink"/>
          </w:rPr>
          <w:t>7.1</w:t>
        </w:r>
        <w:r w:rsidR="00FA399E">
          <w:rPr>
            <w:rFonts w:eastAsiaTheme="minorEastAsia" w:cstheme="minorBidi"/>
            <w:sz w:val="22"/>
            <w:szCs w:val="22"/>
            <w:lang w:val="en-AU" w:eastAsia="en-AU"/>
          </w:rPr>
          <w:tab/>
        </w:r>
        <w:r w:rsidR="00FA399E" w:rsidRPr="002F0D1F">
          <w:rPr>
            <w:rStyle w:val="Hyperlink"/>
          </w:rPr>
          <w:t>Heritage Program</w:t>
        </w:r>
        <w:r w:rsidR="00FA399E">
          <w:rPr>
            <w:webHidden/>
          </w:rPr>
          <w:tab/>
        </w:r>
        <w:r w:rsidR="00FA399E">
          <w:rPr>
            <w:webHidden/>
          </w:rPr>
          <w:fldChar w:fldCharType="begin"/>
        </w:r>
        <w:r w:rsidR="00FA399E">
          <w:rPr>
            <w:webHidden/>
          </w:rPr>
          <w:instrText xml:space="preserve"> PAGEREF _Toc522766172 \h </w:instrText>
        </w:r>
        <w:r w:rsidR="00FA399E">
          <w:rPr>
            <w:webHidden/>
          </w:rPr>
        </w:r>
        <w:r w:rsidR="00FA399E">
          <w:rPr>
            <w:webHidden/>
          </w:rPr>
          <w:fldChar w:fldCharType="separate"/>
        </w:r>
        <w:r w:rsidR="003E105F">
          <w:rPr>
            <w:webHidden/>
          </w:rPr>
          <w:t>36</w:t>
        </w:r>
        <w:r w:rsidR="00FA399E">
          <w:rPr>
            <w:webHidden/>
          </w:rPr>
          <w:fldChar w:fldCharType="end"/>
        </w:r>
      </w:hyperlink>
    </w:p>
    <w:p w14:paraId="7C87C846" w14:textId="191AFB05" w:rsidR="00FA399E" w:rsidRDefault="00771B10">
      <w:pPr>
        <w:pStyle w:val="TOC3"/>
        <w:tabs>
          <w:tab w:val="left" w:pos="1702"/>
        </w:tabs>
        <w:rPr>
          <w:rFonts w:eastAsiaTheme="minorEastAsia" w:cstheme="minorBidi"/>
          <w:kern w:val="0"/>
          <w:sz w:val="22"/>
          <w:szCs w:val="22"/>
          <w:lang w:eastAsia="en-AU"/>
        </w:rPr>
      </w:pPr>
      <w:hyperlink w:anchor="_Toc522766173" w:history="1">
        <w:r w:rsidR="00FA399E" w:rsidRPr="002F0D1F">
          <w:rPr>
            <w:rStyle w:val="Hyperlink"/>
            <w:rFonts w:ascii="Calibri" w:hAnsi="Calibri"/>
          </w:rPr>
          <w:t>7.1.1</w:t>
        </w:r>
        <w:r w:rsidR="00FA399E">
          <w:rPr>
            <w:rFonts w:eastAsiaTheme="minorEastAsia" w:cstheme="minorBidi"/>
            <w:kern w:val="0"/>
            <w:sz w:val="22"/>
            <w:szCs w:val="22"/>
            <w:lang w:eastAsia="en-AU"/>
          </w:rPr>
          <w:tab/>
        </w:r>
        <w:r w:rsidR="00FA399E" w:rsidRPr="002F0D1F">
          <w:rPr>
            <w:rStyle w:val="Hyperlink"/>
          </w:rPr>
          <w:t>Review of the PPHR</w:t>
        </w:r>
        <w:r w:rsidR="00FA399E">
          <w:rPr>
            <w:webHidden/>
          </w:rPr>
          <w:tab/>
        </w:r>
        <w:r w:rsidR="00FA399E">
          <w:rPr>
            <w:webHidden/>
          </w:rPr>
          <w:fldChar w:fldCharType="begin"/>
        </w:r>
        <w:r w:rsidR="00FA399E">
          <w:rPr>
            <w:webHidden/>
          </w:rPr>
          <w:instrText xml:space="preserve"> PAGEREF _Toc522766173 \h </w:instrText>
        </w:r>
        <w:r w:rsidR="00FA399E">
          <w:rPr>
            <w:webHidden/>
          </w:rPr>
        </w:r>
        <w:r w:rsidR="00FA399E">
          <w:rPr>
            <w:webHidden/>
          </w:rPr>
          <w:fldChar w:fldCharType="separate"/>
        </w:r>
        <w:r w:rsidR="003E105F">
          <w:rPr>
            <w:webHidden/>
          </w:rPr>
          <w:t>36</w:t>
        </w:r>
        <w:r w:rsidR="00FA399E">
          <w:rPr>
            <w:webHidden/>
          </w:rPr>
          <w:fldChar w:fldCharType="end"/>
        </w:r>
      </w:hyperlink>
    </w:p>
    <w:p w14:paraId="001B2915" w14:textId="53E7104A" w:rsidR="00FA399E" w:rsidRDefault="00771B10">
      <w:pPr>
        <w:pStyle w:val="TOC3"/>
        <w:tabs>
          <w:tab w:val="left" w:pos="1702"/>
        </w:tabs>
        <w:rPr>
          <w:rFonts w:eastAsiaTheme="minorEastAsia" w:cstheme="minorBidi"/>
          <w:kern w:val="0"/>
          <w:sz w:val="22"/>
          <w:szCs w:val="22"/>
          <w:lang w:eastAsia="en-AU"/>
        </w:rPr>
      </w:pPr>
      <w:hyperlink w:anchor="_Toc522766174" w:history="1">
        <w:r w:rsidR="00FA399E" w:rsidRPr="002F0D1F">
          <w:rPr>
            <w:rStyle w:val="Hyperlink"/>
            <w:rFonts w:ascii="Calibri" w:hAnsi="Calibri"/>
          </w:rPr>
          <w:t>7.1.2</w:t>
        </w:r>
        <w:r w:rsidR="00FA399E">
          <w:rPr>
            <w:rFonts w:eastAsiaTheme="minorEastAsia" w:cstheme="minorBidi"/>
            <w:kern w:val="0"/>
            <w:sz w:val="22"/>
            <w:szCs w:val="22"/>
            <w:lang w:eastAsia="en-AU"/>
          </w:rPr>
          <w:tab/>
        </w:r>
        <w:r w:rsidR="00FA399E" w:rsidRPr="002F0D1F">
          <w:rPr>
            <w:rStyle w:val="Hyperlink"/>
          </w:rPr>
          <w:t>Social values: assessment and management</w:t>
        </w:r>
        <w:r w:rsidR="00FA399E">
          <w:rPr>
            <w:webHidden/>
          </w:rPr>
          <w:tab/>
        </w:r>
        <w:r w:rsidR="00FA399E">
          <w:rPr>
            <w:webHidden/>
          </w:rPr>
          <w:fldChar w:fldCharType="begin"/>
        </w:r>
        <w:r w:rsidR="00FA399E">
          <w:rPr>
            <w:webHidden/>
          </w:rPr>
          <w:instrText xml:space="preserve"> PAGEREF _Toc522766174 \h </w:instrText>
        </w:r>
        <w:r w:rsidR="00FA399E">
          <w:rPr>
            <w:webHidden/>
          </w:rPr>
        </w:r>
        <w:r w:rsidR="00FA399E">
          <w:rPr>
            <w:webHidden/>
          </w:rPr>
          <w:fldChar w:fldCharType="separate"/>
        </w:r>
        <w:r w:rsidR="003E105F">
          <w:rPr>
            <w:webHidden/>
          </w:rPr>
          <w:t>37</w:t>
        </w:r>
        <w:r w:rsidR="00FA399E">
          <w:rPr>
            <w:webHidden/>
          </w:rPr>
          <w:fldChar w:fldCharType="end"/>
        </w:r>
      </w:hyperlink>
    </w:p>
    <w:p w14:paraId="2D03C3A7" w14:textId="685A2381" w:rsidR="00FA399E" w:rsidRDefault="00771B10">
      <w:pPr>
        <w:pStyle w:val="TOC3"/>
        <w:tabs>
          <w:tab w:val="left" w:pos="1702"/>
        </w:tabs>
        <w:rPr>
          <w:rFonts w:eastAsiaTheme="minorEastAsia" w:cstheme="minorBidi"/>
          <w:kern w:val="0"/>
          <w:sz w:val="22"/>
          <w:szCs w:val="22"/>
          <w:lang w:eastAsia="en-AU"/>
        </w:rPr>
      </w:pPr>
      <w:hyperlink w:anchor="_Toc522766175" w:history="1">
        <w:r w:rsidR="00FA399E" w:rsidRPr="002F0D1F">
          <w:rPr>
            <w:rStyle w:val="Hyperlink"/>
            <w:rFonts w:ascii="Calibri" w:hAnsi="Calibri"/>
          </w:rPr>
          <w:t>7.1.3</w:t>
        </w:r>
        <w:r w:rsidR="00FA399E">
          <w:rPr>
            <w:rFonts w:eastAsiaTheme="minorEastAsia" w:cstheme="minorBidi"/>
            <w:kern w:val="0"/>
            <w:sz w:val="22"/>
            <w:szCs w:val="22"/>
            <w:lang w:eastAsia="en-AU"/>
          </w:rPr>
          <w:tab/>
        </w:r>
        <w:r w:rsidR="00FA399E" w:rsidRPr="002F0D1F">
          <w:rPr>
            <w:rStyle w:val="Hyperlink"/>
          </w:rPr>
          <w:t>Capacity building and community influence</w:t>
        </w:r>
        <w:r w:rsidR="00FA399E">
          <w:rPr>
            <w:webHidden/>
          </w:rPr>
          <w:tab/>
        </w:r>
        <w:r w:rsidR="00FA399E">
          <w:rPr>
            <w:webHidden/>
          </w:rPr>
          <w:fldChar w:fldCharType="begin"/>
        </w:r>
        <w:r w:rsidR="00FA399E">
          <w:rPr>
            <w:webHidden/>
          </w:rPr>
          <w:instrText xml:space="preserve"> PAGEREF _Toc522766175 \h </w:instrText>
        </w:r>
        <w:r w:rsidR="00FA399E">
          <w:rPr>
            <w:webHidden/>
          </w:rPr>
        </w:r>
        <w:r w:rsidR="00FA399E">
          <w:rPr>
            <w:webHidden/>
          </w:rPr>
          <w:fldChar w:fldCharType="separate"/>
        </w:r>
        <w:r w:rsidR="003E105F">
          <w:rPr>
            <w:webHidden/>
          </w:rPr>
          <w:t>38</w:t>
        </w:r>
        <w:r w:rsidR="00FA399E">
          <w:rPr>
            <w:webHidden/>
          </w:rPr>
          <w:fldChar w:fldCharType="end"/>
        </w:r>
      </w:hyperlink>
    </w:p>
    <w:p w14:paraId="047599EA" w14:textId="594262C5" w:rsidR="00FA399E" w:rsidRDefault="00771B10">
      <w:pPr>
        <w:pStyle w:val="TOC3"/>
        <w:tabs>
          <w:tab w:val="left" w:pos="1702"/>
        </w:tabs>
        <w:rPr>
          <w:rFonts w:eastAsiaTheme="minorEastAsia" w:cstheme="minorBidi"/>
          <w:kern w:val="0"/>
          <w:sz w:val="22"/>
          <w:szCs w:val="22"/>
          <w:lang w:eastAsia="en-AU"/>
        </w:rPr>
      </w:pPr>
      <w:hyperlink w:anchor="_Toc522766176" w:history="1">
        <w:r w:rsidR="00FA399E" w:rsidRPr="002F0D1F">
          <w:rPr>
            <w:rStyle w:val="Hyperlink"/>
            <w:rFonts w:ascii="Calibri" w:hAnsi="Calibri"/>
          </w:rPr>
          <w:t>7.1.4</w:t>
        </w:r>
        <w:r w:rsidR="00FA399E">
          <w:rPr>
            <w:rFonts w:eastAsiaTheme="minorEastAsia" w:cstheme="minorBidi"/>
            <w:kern w:val="0"/>
            <w:sz w:val="22"/>
            <w:szCs w:val="22"/>
            <w:lang w:eastAsia="en-AU"/>
          </w:rPr>
          <w:tab/>
        </w:r>
        <w:r w:rsidR="00FA399E" w:rsidRPr="002F0D1F">
          <w:rPr>
            <w:rStyle w:val="Hyperlink"/>
          </w:rPr>
          <w:t>Participatory planning</w:t>
        </w:r>
        <w:r w:rsidR="00FA399E">
          <w:rPr>
            <w:webHidden/>
          </w:rPr>
          <w:tab/>
        </w:r>
        <w:r w:rsidR="00FA399E">
          <w:rPr>
            <w:webHidden/>
          </w:rPr>
          <w:fldChar w:fldCharType="begin"/>
        </w:r>
        <w:r w:rsidR="00FA399E">
          <w:rPr>
            <w:webHidden/>
          </w:rPr>
          <w:instrText xml:space="preserve"> PAGEREF _Toc522766176 \h </w:instrText>
        </w:r>
        <w:r w:rsidR="00FA399E">
          <w:rPr>
            <w:webHidden/>
          </w:rPr>
        </w:r>
        <w:r w:rsidR="00FA399E">
          <w:rPr>
            <w:webHidden/>
          </w:rPr>
          <w:fldChar w:fldCharType="separate"/>
        </w:r>
        <w:r w:rsidR="003E105F">
          <w:rPr>
            <w:webHidden/>
          </w:rPr>
          <w:t>39</w:t>
        </w:r>
        <w:r w:rsidR="00FA399E">
          <w:rPr>
            <w:webHidden/>
          </w:rPr>
          <w:fldChar w:fldCharType="end"/>
        </w:r>
      </w:hyperlink>
    </w:p>
    <w:p w14:paraId="2E9E695F" w14:textId="7B6121F0" w:rsidR="00FA399E" w:rsidRDefault="00771B10">
      <w:pPr>
        <w:pStyle w:val="TOC3"/>
        <w:tabs>
          <w:tab w:val="left" w:pos="1702"/>
        </w:tabs>
        <w:rPr>
          <w:rFonts w:eastAsiaTheme="minorEastAsia" w:cstheme="minorBidi"/>
          <w:kern w:val="0"/>
          <w:sz w:val="22"/>
          <w:szCs w:val="22"/>
          <w:lang w:eastAsia="en-AU"/>
        </w:rPr>
      </w:pPr>
      <w:hyperlink w:anchor="_Toc522766177" w:history="1">
        <w:r w:rsidR="00FA399E" w:rsidRPr="002F0D1F">
          <w:rPr>
            <w:rStyle w:val="Hyperlink"/>
            <w:rFonts w:ascii="Calibri" w:hAnsi="Calibri"/>
          </w:rPr>
          <w:t>7.1.5</w:t>
        </w:r>
        <w:r w:rsidR="00FA399E">
          <w:rPr>
            <w:rFonts w:eastAsiaTheme="minorEastAsia" w:cstheme="minorBidi"/>
            <w:kern w:val="0"/>
            <w:sz w:val="22"/>
            <w:szCs w:val="22"/>
            <w:lang w:eastAsia="en-AU"/>
          </w:rPr>
          <w:tab/>
        </w:r>
        <w:r w:rsidR="00FA399E" w:rsidRPr="002F0D1F">
          <w:rPr>
            <w:rStyle w:val="Hyperlink"/>
          </w:rPr>
          <w:t>Programs and incentives</w:t>
        </w:r>
        <w:r w:rsidR="00FA399E">
          <w:rPr>
            <w:webHidden/>
          </w:rPr>
          <w:tab/>
        </w:r>
        <w:r w:rsidR="00FA399E">
          <w:rPr>
            <w:webHidden/>
          </w:rPr>
          <w:fldChar w:fldCharType="begin"/>
        </w:r>
        <w:r w:rsidR="00FA399E">
          <w:rPr>
            <w:webHidden/>
          </w:rPr>
          <w:instrText xml:space="preserve"> PAGEREF _Toc522766177 \h </w:instrText>
        </w:r>
        <w:r w:rsidR="00FA399E">
          <w:rPr>
            <w:webHidden/>
          </w:rPr>
        </w:r>
        <w:r w:rsidR="00FA399E">
          <w:rPr>
            <w:webHidden/>
          </w:rPr>
          <w:fldChar w:fldCharType="separate"/>
        </w:r>
        <w:r w:rsidR="003E105F">
          <w:rPr>
            <w:webHidden/>
          </w:rPr>
          <w:t>39</w:t>
        </w:r>
        <w:r w:rsidR="00FA399E">
          <w:rPr>
            <w:webHidden/>
          </w:rPr>
          <w:fldChar w:fldCharType="end"/>
        </w:r>
      </w:hyperlink>
    </w:p>
    <w:p w14:paraId="0E3D204E" w14:textId="73FE9458" w:rsidR="00FA399E" w:rsidRDefault="00771B10">
      <w:pPr>
        <w:pStyle w:val="TOC2"/>
        <w:rPr>
          <w:rFonts w:eastAsiaTheme="minorEastAsia" w:cstheme="minorBidi"/>
          <w:sz w:val="22"/>
          <w:szCs w:val="22"/>
          <w:lang w:val="en-AU" w:eastAsia="en-AU"/>
        </w:rPr>
      </w:pPr>
      <w:hyperlink w:anchor="_Toc522766178" w:history="1">
        <w:r w:rsidR="00FA399E" w:rsidRPr="002F0D1F">
          <w:rPr>
            <w:rStyle w:val="Hyperlink"/>
          </w:rPr>
          <w:t>7.2</w:t>
        </w:r>
        <w:r w:rsidR="00FA399E">
          <w:rPr>
            <w:rFonts w:eastAsiaTheme="minorEastAsia" w:cstheme="minorBidi"/>
            <w:sz w:val="22"/>
            <w:szCs w:val="22"/>
            <w:lang w:val="en-AU" w:eastAsia="en-AU"/>
          </w:rPr>
          <w:tab/>
        </w:r>
        <w:r w:rsidR="00FA399E" w:rsidRPr="002F0D1F">
          <w:rPr>
            <w:rStyle w:val="Hyperlink"/>
          </w:rPr>
          <w:t>Historic Urban Landscape Plan</w:t>
        </w:r>
        <w:r w:rsidR="00FA399E">
          <w:rPr>
            <w:webHidden/>
          </w:rPr>
          <w:tab/>
        </w:r>
        <w:r w:rsidR="00FA399E">
          <w:rPr>
            <w:webHidden/>
          </w:rPr>
          <w:fldChar w:fldCharType="begin"/>
        </w:r>
        <w:r w:rsidR="00FA399E">
          <w:rPr>
            <w:webHidden/>
          </w:rPr>
          <w:instrText xml:space="preserve"> PAGEREF _Toc522766178 \h </w:instrText>
        </w:r>
        <w:r w:rsidR="00FA399E">
          <w:rPr>
            <w:webHidden/>
          </w:rPr>
        </w:r>
        <w:r w:rsidR="00FA399E">
          <w:rPr>
            <w:webHidden/>
          </w:rPr>
          <w:fldChar w:fldCharType="separate"/>
        </w:r>
        <w:r w:rsidR="003E105F">
          <w:rPr>
            <w:webHidden/>
          </w:rPr>
          <w:t>40</w:t>
        </w:r>
        <w:r w:rsidR="00FA399E">
          <w:rPr>
            <w:webHidden/>
          </w:rPr>
          <w:fldChar w:fldCharType="end"/>
        </w:r>
      </w:hyperlink>
    </w:p>
    <w:p w14:paraId="0F48DF3D" w14:textId="5F5DC3AA" w:rsidR="00F744EA" w:rsidRPr="00240CB7" w:rsidRDefault="00A368BC" w:rsidP="00240CB7">
      <w:pPr>
        <w:pStyle w:val="Heading1"/>
        <w:numPr>
          <w:ilvl w:val="0"/>
          <w:numId w:val="0"/>
        </w:numPr>
        <w:ind w:left="851" w:hanging="851"/>
      </w:pPr>
      <w:r>
        <w:fldChar w:fldCharType="end"/>
      </w:r>
    </w:p>
    <w:p w14:paraId="79A8DB4F" w14:textId="77777777" w:rsidR="00F744EA" w:rsidRPr="00AD697E" w:rsidRDefault="00F744EA" w:rsidP="00F744EA">
      <w:pPr>
        <w:rPr>
          <w:rFonts w:eastAsiaTheme="minorEastAsia"/>
          <w:b/>
          <w:lang w:val="en-US"/>
        </w:rPr>
      </w:pPr>
      <w:r w:rsidRPr="00AD697E">
        <w:rPr>
          <w:rFonts w:eastAsiaTheme="minorEastAsia"/>
          <w:b/>
          <w:lang w:val="en-US"/>
        </w:rPr>
        <w:t>APPENDIX A</w:t>
      </w:r>
      <w:r w:rsidRPr="00AD697E">
        <w:rPr>
          <w:rFonts w:eastAsiaTheme="minorEastAsia"/>
          <w:b/>
          <w:lang w:val="en-US"/>
        </w:rPr>
        <w:tab/>
      </w:r>
      <w:r w:rsidRPr="00AD697E">
        <w:rPr>
          <w:rFonts w:eastAsiaTheme="minorEastAsia"/>
          <w:b/>
          <w:lang w:val="en-US"/>
        </w:rPr>
        <w:tab/>
        <w:t>PROJECT BRIEF</w:t>
      </w:r>
    </w:p>
    <w:p w14:paraId="5DF24FB9" w14:textId="1B92131F" w:rsidR="00F744EA" w:rsidRPr="00AD697E" w:rsidRDefault="00F744EA" w:rsidP="00F744EA">
      <w:pPr>
        <w:rPr>
          <w:rFonts w:eastAsiaTheme="minorEastAsia"/>
          <w:b/>
          <w:lang w:val="en-US"/>
        </w:rPr>
      </w:pPr>
      <w:r w:rsidRPr="00AD697E">
        <w:rPr>
          <w:rFonts w:eastAsiaTheme="minorEastAsia"/>
          <w:b/>
          <w:lang w:val="en-US"/>
        </w:rPr>
        <w:t>APPENDIX B</w:t>
      </w:r>
      <w:r w:rsidRPr="00AD697E">
        <w:rPr>
          <w:rFonts w:eastAsiaTheme="minorEastAsia"/>
          <w:b/>
          <w:lang w:val="en-US"/>
        </w:rPr>
        <w:tab/>
      </w:r>
      <w:r w:rsidRPr="00AD697E">
        <w:rPr>
          <w:rFonts w:eastAsiaTheme="minorEastAsia"/>
          <w:b/>
          <w:lang w:val="en-US"/>
        </w:rPr>
        <w:tab/>
      </w:r>
      <w:bookmarkStart w:id="1" w:name="_Hlk520205921"/>
      <w:r w:rsidRPr="00AD697E">
        <w:rPr>
          <w:rFonts w:eastAsiaTheme="minorEastAsia"/>
          <w:b/>
          <w:lang w:val="en-US"/>
        </w:rPr>
        <w:t>CONSULTATION PLAN</w:t>
      </w:r>
      <w:r w:rsidR="00E00B5A">
        <w:rPr>
          <w:rFonts w:eastAsiaTheme="minorEastAsia"/>
          <w:b/>
          <w:lang w:val="en-US"/>
        </w:rPr>
        <w:t xml:space="preserve"> (ELTON CONSULTING)</w:t>
      </w:r>
    </w:p>
    <w:bookmarkEnd w:id="1"/>
    <w:p w14:paraId="33E946F2" w14:textId="362C5C9D" w:rsidR="00F744EA" w:rsidRPr="00E00B5A" w:rsidRDefault="00F744EA" w:rsidP="00F744EA">
      <w:pPr>
        <w:rPr>
          <w:rFonts w:eastAsiaTheme="minorEastAsia"/>
        </w:rPr>
      </w:pPr>
      <w:r w:rsidRPr="00AD697E">
        <w:rPr>
          <w:rFonts w:eastAsiaTheme="minorEastAsia"/>
          <w:b/>
          <w:lang w:val="en-US"/>
        </w:rPr>
        <w:t>APPENDIX C</w:t>
      </w:r>
      <w:r w:rsidRPr="00AD697E">
        <w:rPr>
          <w:rFonts w:eastAsiaTheme="minorEastAsia"/>
          <w:b/>
          <w:lang w:val="en-US"/>
        </w:rPr>
        <w:tab/>
      </w:r>
      <w:r w:rsidRPr="00AD697E">
        <w:rPr>
          <w:rFonts w:eastAsiaTheme="minorEastAsia"/>
          <w:b/>
          <w:lang w:val="en-US"/>
        </w:rPr>
        <w:tab/>
        <w:t xml:space="preserve">CONSULTATION </w:t>
      </w:r>
      <w:r w:rsidR="00D3026E">
        <w:rPr>
          <w:rFonts w:eastAsiaTheme="minorEastAsia"/>
          <w:b/>
          <w:lang w:val="en-US"/>
        </w:rPr>
        <w:t>REPORT</w:t>
      </w:r>
      <w:r w:rsidR="00E00B5A">
        <w:rPr>
          <w:rFonts w:eastAsiaTheme="minorEastAsia"/>
          <w:b/>
          <w:lang w:val="en-US"/>
        </w:rPr>
        <w:t xml:space="preserve"> (ELTON CONSULTING)</w:t>
      </w:r>
    </w:p>
    <w:p w14:paraId="54CA231C" w14:textId="77777777" w:rsidR="00240CB7" w:rsidRDefault="005D7874" w:rsidP="00E00B5A">
      <w:pPr>
        <w:ind w:left="2160" w:hanging="2160"/>
        <w:rPr>
          <w:b/>
        </w:rPr>
      </w:pPr>
      <w:r w:rsidRPr="00E00B5A">
        <w:rPr>
          <w:b/>
        </w:rPr>
        <w:t xml:space="preserve">APPENDIX </w:t>
      </w:r>
      <w:r w:rsidR="00E00B5A" w:rsidRPr="00E00B5A">
        <w:rPr>
          <w:b/>
        </w:rPr>
        <w:t>D</w:t>
      </w:r>
      <w:r w:rsidR="00E00B5A" w:rsidRPr="00E00B5A">
        <w:rPr>
          <w:b/>
        </w:rPr>
        <w:tab/>
      </w:r>
      <w:bookmarkStart w:id="2" w:name="_Hlk520206023"/>
      <w:r w:rsidR="00240CB7" w:rsidRPr="00E00B5A">
        <w:rPr>
          <w:b/>
        </w:rPr>
        <w:t>REGISTER OF PLACES, ELEMENTS AND ATTRIBUTES IDENTIFIED DURING STAGE 1</w:t>
      </w:r>
      <w:bookmarkEnd w:id="2"/>
    </w:p>
    <w:p w14:paraId="6FDC697A" w14:textId="77777777" w:rsidR="00E00B5A" w:rsidRDefault="00E00B5A" w:rsidP="00E00B5A">
      <w:pPr>
        <w:ind w:left="2160" w:hanging="2160"/>
        <w:rPr>
          <w:b/>
        </w:rPr>
      </w:pPr>
    </w:p>
    <w:p w14:paraId="17538A7B" w14:textId="38214838" w:rsidR="00E00B5A" w:rsidRPr="00240CB7" w:rsidRDefault="00E00B5A" w:rsidP="00E00B5A">
      <w:pPr>
        <w:ind w:left="2160" w:hanging="2160"/>
        <w:rPr>
          <w:b/>
        </w:rPr>
        <w:sectPr w:rsidR="00E00B5A" w:rsidRPr="00240CB7" w:rsidSect="00B7794A">
          <w:footnotePr>
            <w:numRestart w:val="eachSect"/>
          </w:footnotePr>
          <w:endnotePr>
            <w:numFmt w:val="decimal"/>
            <w:numRestart w:val="eachSect"/>
          </w:endnotePr>
          <w:pgSz w:w="11907" w:h="16840" w:code="9"/>
          <w:pgMar w:top="1418" w:right="1701" w:bottom="1418" w:left="1701" w:header="567" w:footer="629" w:gutter="0"/>
          <w:pgNumType w:fmt="lowerRoman" w:start="1"/>
          <w:cols w:space="720"/>
          <w:docGrid w:linePitch="272"/>
        </w:sectPr>
      </w:pPr>
    </w:p>
    <w:p w14:paraId="7AF45EFB" w14:textId="77777777" w:rsidR="006711A4" w:rsidRDefault="00B7794A" w:rsidP="006711A4">
      <w:pPr>
        <w:pStyle w:val="Heading1"/>
        <w:numPr>
          <w:ilvl w:val="0"/>
          <w:numId w:val="0"/>
        </w:numPr>
        <w:ind w:left="851" w:hanging="851"/>
      </w:pPr>
      <w:bookmarkStart w:id="3" w:name="_Toc522766131"/>
      <w:r>
        <w:lastRenderedPageBreak/>
        <w:t>EXECUTIVE SUMMA</w:t>
      </w:r>
      <w:bookmarkEnd w:id="0"/>
      <w:r w:rsidR="006711A4">
        <w:t>RY</w:t>
      </w:r>
      <w:bookmarkEnd w:id="3"/>
      <w:r w:rsidR="006711A4">
        <w:t xml:space="preserve"> </w:t>
      </w:r>
    </w:p>
    <w:p w14:paraId="0447C5EE" w14:textId="0D49B158" w:rsidR="00C8227A" w:rsidRDefault="00F002C9" w:rsidP="00D52442">
      <w:r>
        <w:t xml:space="preserve">The City of Port Phillip (CoPP) has periodically reviewed and updated the Port Phillip Heritage Review (PPHR) since it was finalised in 2001.  To assist in this process, </w:t>
      </w:r>
      <w:r w:rsidR="00A42D7E">
        <w:t xml:space="preserve">and as a precursor to a more comprehensive review of the PPHR, </w:t>
      </w:r>
      <w:r>
        <w:t>CoPP has initiated a Heritage Program</w:t>
      </w:r>
      <w:r w:rsidR="00A42D7E">
        <w:t xml:space="preserve">.  </w:t>
      </w:r>
      <w:r w:rsidR="008C33E9">
        <w:t>In February 2018</w:t>
      </w:r>
      <w:r w:rsidR="00115F68">
        <w:t xml:space="preserve">, </w:t>
      </w:r>
      <w:r w:rsidR="004A4DC3">
        <w:t>CoPP</w:t>
      </w:r>
      <w:r w:rsidR="00A42D7E">
        <w:t xml:space="preserve"> </w:t>
      </w:r>
      <w:r w:rsidR="008C33E9">
        <w:t xml:space="preserve">issued a brief </w:t>
      </w:r>
      <w:r w:rsidR="004A4DC3">
        <w:t xml:space="preserve">for </w:t>
      </w:r>
      <w:r w:rsidR="006A6B1E">
        <w:t>S</w:t>
      </w:r>
      <w:r w:rsidR="00C8227A">
        <w:t xml:space="preserve">tage </w:t>
      </w:r>
      <w:r w:rsidR="006A6B1E">
        <w:t xml:space="preserve">1 </w:t>
      </w:r>
      <w:r w:rsidR="00A42D7E">
        <w:t xml:space="preserve">the </w:t>
      </w:r>
      <w:r w:rsidR="007661A4">
        <w:t>Heritage Program</w:t>
      </w:r>
      <w:r w:rsidR="00A42D7E">
        <w:t xml:space="preserve"> (see copy at Appendix A).  C</w:t>
      </w:r>
      <w:r w:rsidR="00C8227A">
        <w:t xml:space="preserve">ommunity consultation was a major emphasis of </w:t>
      </w:r>
      <w:r w:rsidR="00115F68">
        <w:t>the brief</w:t>
      </w:r>
      <w:r w:rsidR="00C8227A">
        <w:t>.  Objectives of this process were to establish:</w:t>
      </w:r>
      <w:r w:rsidR="006A6B1E">
        <w:t xml:space="preserve"> </w:t>
      </w:r>
    </w:p>
    <w:p w14:paraId="55E8BB25" w14:textId="4385F07C" w:rsidR="00A351DE" w:rsidRPr="00922CE8" w:rsidRDefault="00C8227A" w:rsidP="00A351DE">
      <w:pPr>
        <w:pStyle w:val="list1"/>
        <w:numPr>
          <w:ilvl w:val="0"/>
          <w:numId w:val="4"/>
        </w:numPr>
        <w:tabs>
          <w:tab w:val="left" w:pos="720"/>
        </w:tabs>
      </w:pPr>
      <w:r>
        <w:t xml:space="preserve">What </w:t>
      </w:r>
      <w:r w:rsidR="00A351DE" w:rsidRPr="00922CE8">
        <w:t>the concept of heritage mean</w:t>
      </w:r>
      <w:r>
        <w:t>s</w:t>
      </w:r>
      <w:r w:rsidR="00A351DE" w:rsidRPr="00922CE8">
        <w:t xml:space="preserve"> to the community</w:t>
      </w:r>
      <w:r w:rsidR="00467ACA">
        <w:t xml:space="preserve">, and whether </w:t>
      </w:r>
      <w:r w:rsidR="00A351DE" w:rsidRPr="00922CE8">
        <w:t xml:space="preserve">this </w:t>
      </w:r>
      <w:r w:rsidR="00467ACA">
        <w:t xml:space="preserve">has </w:t>
      </w:r>
      <w:r w:rsidR="00A351DE" w:rsidRPr="00922CE8">
        <w:t>changed from Council’s current understanding of community heritage value</w:t>
      </w:r>
      <w:r w:rsidR="00467ACA">
        <w:t>s</w:t>
      </w:r>
      <w:r w:rsidR="00A351DE" w:rsidRPr="00922CE8">
        <w:t>?</w:t>
      </w:r>
    </w:p>
    <w:p w14:paraId="5C605853" w14:textId="77777777" w:rsidR="00A351DE" w:rsidRPr="00922CE8" w:rsidRDefault="00A351DE" w:rsidP="00A351DE">
      <w:pPr>
        <w:pStyle w:val="list1"/>
        <w:numPr>
          <w:ilvl w:val="0"/>
          <w:numId w:val="4"/>
        </w:numPr>
        <w:tabs>
          <w:tab w:val="left" w:pos="720"/>
        </w:tabs>
      </w:pPr>
      <w:r w:rsidRPr="00922CE8">
        <w:t>What types of heritage places, including places of potential social heritage significance, the community values, and why?</w:t>
      </w:r>
    </w:p>
    <w:p w14:paraId="772958D7" w14:textId="06332AF7" w:rsidR="00A351DE" w:rsidRPr="00922CE8" w:rsidRDefault="00A351DE" w:rsidP="00A351DE">
      <w:pPr>
        <w:pStyle w:val="list1"/>
        <w:numPr>
          <w:ilvl w:val="0"/>
          <w:numId w:val="4"/>
        </w:numPr>
        <w:tabs>
          <w:tab w:val="left" w:pos="720"/>
        </w:tabs>
      </w:pPr>
      <w:r w:rsidRPr="00922CE8">
        <w:t>What types of heritage places are perceived by the community to be under threat, or under-represented in the PPHR</w:t>
      </w:r>
      <w:r w:rsidR="00922CE8" w:rsidRPr="00922CE8">
        <w:t xml:space="preserve">?  </w:t>
      </w:r>
      <w:r w:rsidRPr="00922CE8">
        <w:t>For example, hotels, post-war buildings, or places with social values.</w:t>
      </w:r>
    </w:p>
    <w:p w14:paraId="08423781" w14:textId="4061FA12" w:rsidR="00A351DE" w:rsidRPr="00922CE8" w:rsidRDefault="00A351DE" w:rsidP="00A351DE">
      <w:pPr>
        <w:pStyle w:val="list1"/>
        <w:numPr>
          <w:ilvl w:val="0"/>
          <w:numId w:val="4"/>
        </w:numPr>
        <w:tabs>
          <w:tab w:val="left" w:pos="720"/>
        </w:tabs>
      </w:pPr>
      <w:r w:rsidRPr="00922CE8">
        <w:t>The level of community awareness of existing controls, policies and programs enacted by Council to identify, protect, c</w:t>
      </w:r>
      <w:r w:rsidR="00C8227A">
        <w:t xml:space="preserve">elebrate and recognise heritage; and </w:t>
      </w:r>
    </w:p>
    <w:p w14:paraId="6F580C07" w14:textId="6B86318A" w:rsidR="00A351DE" w:rsidRPr="00922CE8" w:rsidRDefault="00A351DE" w:rsidP="00A351DE">
      <w:pPr>
        <w:pStyle w:val="list1"/>
        <w:numPr>
          <w:ilvl w:val="0"/>
          <w:numId w:val="4"/>
        </w:numPr>
        <w:tabs>
          <w:tab w:val="left" w:pos="720"/>
        </w:tabs>
      </w:pPr>
      <w:r w:rsidRPr="00922CE8">
        <w:t>What else can Council do to identify, protect, celebrate or recognise heritage?</w:t>
      </w:r>
      <w:r w:rsidR="00467ACA">
        <w:rPr>
          <w:rStyle w:val="FootnoteReference"/>
        </w:rPr>
        <w:footnoteReference w:id="1"/>
      </w:r>
    </w:p>
    <w:p w14:paraId="2EF00A25" w14:textId="3E35F11A" w:rsidR="0019371C" w:rsidRDefault="00781505" w:rsidP="00C8227A">
      <w:r>
        <w:t>While the consultation was required to address all heritage places</w:t>
      </w:r>
      <w:r w:rsidR="0019371C">
        <w:t xml:space="preserve"> in the municipality</w:t>
      </w:r>
      <w:r>
        <w:t xml:space="preserve">, a focus </w:t>
      </w:r>
      <w:r w:rsidR="0019371C">
        <w:t>was on places of social value,</w:t>
      </w:r>
      <w:r w:rsidR="006A6B1E">
        <w:t xml:space="preserve"> including</w:t>
      </w:r>
      <w:r w:rsidR="0019371C">
        <w:t xml:space="preserve"> how</w:t>
      </w:r>
      <w:r>
        <w:t xml:space="preserve"> places </w:t>
      </w:r>
      <w:r w:rsidR="0019371C">
        <w:t xml:space="preserve">that are valued for reasons of communal attachment can be identified.  Outcomes of Stage 1 will be used to inform future stages of the Heritage Program. </w:t>
      </w:r>
    </w:p>
    <w:p w14:paraId="29400221" w14:textId="5157EBBC" w:rsidR="00B22B91" w:rsidRPr="0019371C" w:rsidRDefault="00B22B91" w:rsidP="00B22B91">
      <w:pPr>
        <w:pStyle w:val="Heading4"/>
        <w:rPr>
          <w:i/>
        </w:rPr>
      </w:pPr>
      <w:r w:rsidRPr="0019371C">
        <w:rPr>
          <w:i/>
        </w:rPr>
        <w:t>Why now?</w:t>
      </w:r>
    </w:p>
    <w:p w14:paraId="1B748359" w14:textId="25CDFA0D" w:rsidR="00F43647" w:rsidRDefault="00781505" w:rsidP="00D52442">
      <w:r>
        <w:t xml:space="preserve">The CoPP is a </w:t>
      </w:r>
      <w:r w:rsidR="00861EC9">
        <w:t xml:space="preserve">rich and </w:t>
      </w:r>
      <w:r>
        <w:t>complex heritage settin</w:t>
      </w:r>
      <w:r w:rsidR="001B66CD">
        <w:t xml:space="preserve">g </w:t>
      </w:r>
      <w:r w:rsidR="0019371C">
        <w:t>comprising multiple layers of natural and man-made activity</w:t>
      </w:r>
      <w:r w:rsidR="001B66CD">
        <w:t>, including I</w:t>
      </w:r>
      <w:r w:rsidR="008B3B8F">
        <w:t>ndigenous</w:t>
      </w:r>
      <w:r w:rsidR="001B66CD">
        <w:t xml:space="preserve"> land use and associations</w:t>
      </w:r>
      <w:r w:rsidR="008B3B8F">
        <w:t xml:space="preserve">, </w:t>
      </w:r>
      <w:r w:rsidR="00190B6A">
        <w:t xml:space="preserve">the foreshore </w:t>
      </w:r>
      <w:r w:rsidR="006A6CA7">
        <w:t xml:space="preserve">and coastal vegetation, parks and open space </w:t>
      </w:r>
      <w:r w:rsidR="001B66CD">
        <w:t xml:space="preserve">and </w:t>
      </w:r>
      <w:r>
        <w:t>built form dating</w:t>
      </w:r>
      <w:r w:rsidR="006A6CA7">
        <w:t xml:space="preserve"> from the mid-nineteenth </w:t>
      </w:r>
      <w:r w:rsidR="008B3B8F">
        <w:t>century</w:t>
      </w:r>
      <w:r>
        <w:t xml:space="preserve">.  It is also a living entity, </w:t>
      </w:r>
      <w:r w:rsidR="008B3B8F">
        <w:t xml:space="preserve">home to over 110,000 people, with </w:t>
      </w:r>
      <w:r w:rsidR="006A6CA7">
        <w:t>an influx of a further 5</w:t>
      </w:r>
      <w:r w:rsidR="008B3B8F">
        <w:t xml:space="preserve">0,000 </w:t>
      </w:r>
      <w:r w:rsidR="006A6CA7">
        <w:t xml:space="preserve">people </w:t>
      </w:r>
      <w:r w:rsidR="008B3B8F">
        <w:t>anticipated in the next 20</w:t>
      </w:r>
      <w:r w:rsidR="006A6CA7">
        <w:t xml:space="preserve"> years.  In a context of such dynamic change, historic buildings/places and the valued historic character</w:t>
      </w:r>
      <w:r w:rsidR="006A6B1E">
        <w:t xml:space="preserve"> of the </w:t>
      </w:r>
      <w:r w:rsidR="000F53DF">
        <w:t>municipality</w:t>
      </w:r>
      <w:r w:rsidR="006A6CA7">
        <w:t xml:space="preserve"> are vulnerable, with low-scale h</w:t>
      </w:r>
      <w:r w:rsidR="003D35F9">
        <w:t xml:space="preserve">istoric </w:t>
      </w:r>
      <w:r w:rsidR="006A6CA7">
        <w:t xml:space="preserve">buildings seen by some </w:t>
      </w:r>
      <w:r w:rsidR="008B3B8F">
        <w:t xml:space="preserve">as </w:t>
      </w:r>
      <w:r w:rsidR="006A6CA7">
        <w:t xml:space="preserve">an impediment to progress. </w:t>
      </w:r>
      <w:r w:rsidR="008B3B8F">
        <w:t xml:space="preserve"> </w:t>
      </w:r>
      <w:r w:rsidR="00BE13C1">
        <w:t xml:space="preserve">Climate change represents another threat to the low-lying coastal municipality.  </w:t>
      </w:r>
    </w:p>
    <w:p w14:paraId="56B2D5ED" w14:textId="5AC672C1" w:rsidR="005E7B3B" w:rsidRDefault="006A6CA7" w:rsidP="001A2040">
      <w:pPr>
        <w:pStyle w:val="list1"/>
        <w:numPr>
          <w:ilvl w:val="0"/>
          <w:numId w:val="0"/>
        </w:numPr>
      </w:pPr>
      <w:r>
        <w:t>In 2017</w:t>
      </w:r>
      <w:r w:rsidR="00F61034">
        <w:t xml:space="preserve">, two </w:t>
      </w:r>
      <w:r>
        <w:t xml:space="preserve">historic </w:t>
      </w:r>
      <w:r w:rsidR="00F61034">
        <w:t xml:space="preserve">corner hotels were demolished to </w:t>
      </w:r>
      <w:r w:rsidR="00BF1209">
        <w:t xml:space="preserve">create space for new </w:t>
      </w:r>
      <w:r w:rsidR="00F61034">
        <w:t xml:space="preserve">multi-level </w:t>
      </w:r>
      <w:r>
        <w:t xml:space="preserve">residential developments.  The Greyhound Hotel in St Kilda and the London Hotel in Port Melbourne </w:t>
      </w:r>
      <w:r w:rsidR="00F61034">
        <w:t xml:space="preserve">were not </w:t>
      </w:r>
      <w:r w:rsidR="00BF1209">
        <w:t xml:space="preserve">subject to heritage controls in the Port Phillip Planning Scheme. </w:t>
      </w:r>
      <w:r w:rsidR="00E53921">
        <w:t xml:space="preserve"> The proposals for change did, however, reveal a degree of public sentiment for the buildings.  In both cases, the local communities ran campaigns in support of retaining the hotels.  The embedded meaning and value of the hotels as places of communal interaction over a sustained perio</w:t>
      </w:r>
      <w:r w:rsidR="005E7B3B">
        <w:t xml:space="preserve">d was central to </w:t>
      </w:r>
      <w:r w:rsidR="00A42D7E">
        <w:t>the community’s opposition to demolition of these two buildings</w:t>
      </w:r>
      <w:r w:rsidR="00E53921">
        <w:t>.</w:t>
      </w:r>
    </w:p>
    <w:p w14:paraId="1F2B208F" w14:textId="68842768" w:rsidR="00521FBC" w:rsidRDefault="00F61034" w:rsidP="00F30452">
      <w:pPr>
        <w:pStyle w:val="list1"/>
        <w:numPr>
          <w:ilvl w:val="0"/>
          <w:numId w:val="0"/>
        </w:numPr>
      </w:pPr>
      <w:r>
        <w:t xml:space="preserve">In the context of the CoPP, these demolitions can be seen as a </w:t>
      </w:r>
      <w:r w:rsidR="003D35F9">
        <w:t xml:space="preserve">local </w:t>
      </w:r>
      <w:r>
        <w:t xml:space="preserve">tipping point </w:t>
      </w:r>
      <w:r w:rsidR="003D35F9">
        <w:t xml:space="preserve">in a broader shift that is occurring between </w:t>
      </w:r>
      <w:r w:rsidR="00D52442">
        <w:t xml:space="preserve">heritage as understood and appreciated by </w:t>
      </w:r>
      <w:r w:rsidR="00F30452">
        <w:t>the community</w:t>
      </w:r>
      <w:r w:rsidR="00D52442">
        <w:t>, and heritage as assessed and managed by municipal authorities</w:t>
      </w:r>
      <w:r w:rsidR="00E53921">
        <w:t xml:space="preserve"> on behalf of </w:t>
      </w:r>
      <w:r w:rsidR="00F30452">
        <w:t>the community</w:t>
      </w:r>
      <w:r w:rsidR="00E53921">
        <w:t>.  Th</w:t>
      </w:r>
      <w:r w:rsidR="005E7B3B">
        <w:t xml:space="preserve">at </w:t>
      </w:r>
      <w:r w:rsidR="00E53921">
        <w:t xml:space="preserve">schism is </w:t>
      </w:r>
      <w:r w:rsidR="00F30452">
        <w:t>impl</w:t>
      </w:r>
      <w:r w:rsidR="005317B2">
        <w:t>icit</w:t>
      </w:r>
      <w:r w:rsidR="00F30452">
        <w:t xml:space="preserve"> in the Project Brief, which requires analysis of whether places with a </w:t>
      </w:r>
      <w:r w:rsidR="005E7B3B">
        <w:t>particular value (</w:t>
      </w:r>
      <w:r w:rsidR="00F30452">
        <w:t>social value</w:t>
      </w:r>
      <w:r w:rsidR="005E7B3B">
        <w:t xml:space="preserve">) </w:t>
      </w:r>
      <w:r w:rsidR="00F30452">
        <w:t>are under-represented in the PPHR.  This is a</w:t>
      </w:r>
      <w:r w:rsidR="00F30452" w:rsidRPr="005923A2">
        <w:t xml:space="preserve">n inversion of </w:t>
      </w:r>
      <w:r w:rsidR="00F30452">
        <w:t xml:space="preserve">conventional </w:t>
      </w:r>
      <w:r w:rsidR="00F30452" w:rsidRPr="005923A2">
        <w:t>approaches</w:t>
      </w:r>
      <w:r w:rsidR="005E7B3B">
        <w:t xml:space="preserve"> to heritage studies</w:t>
      </w:r>
      <w:r w:rsidR="00F30452">
        <w:t xml:space="preserve">, where places are </w:t>
      </w:r>
      <w:r w:rsidR="005E7B3B">
        <w:t xml:space="preserve">first </w:t>
      </w:r>
      <w:r w:rsidR="00F30452">
        <w:t xml:space="preserve">identified and then assessed for their ability to demonstrate values.  </w:t>
      </w:r>
    </w:p>
    <w:p w14:paraId="7543BE64" w14:textId="704874A6" w:rsidR="007A1261" w:rsidRDefault="007A1261" w:rsidP="007A1261">
      <w:r>
        <w:t xml:space="preserve">There are static and retrospective dimensions to established conceptions of heritage.  Legislation </w:t>
      </w:r>
      <w:r w:rsidR="005317B2">
        <w:t>passed</w:t>
      </w:r>
      <w:r>
        <w:t xml:space="preserve"> in the 1970s (in Victoria) has given weight to heritage as grounded in the past and embedded in place, typically buildings and building fabric.  An emphasis on the tangible, technical and scientific </w:t>
      </w:r>
      <w:r>
        <w:lastRenderedPageBreak/>
        <w:t xml:space="preserve">characteristics of heritage has given specialists (including architects, archaeologists, engineers and historians) a central role in the identification and assessment of heritage places. </w:t>
      </w:r>
    </w:p>
    <w:p w14:paraId="42EBF4E5" w14:textId="5ABFD0E7" w:rsidR="007A1261" w:rsidRDefault="00E2074B" w:rsidP="007A1261">
      <w:r>
        <w:t xml:space="preserve">In recent years there has been a conspicuous momentum shift in support of ‘community-centred heritage’ and a parallel resistance to expert-driven, thresholds-based values approaches.  </w:t>
      </w:r>
      <w:r w:rsidR="007A1261">
        <w:t>Increasingly, heritage is recognised as a process that is informed by a range of social, political and economic factors.</w:t>
      </w:r>
      <w:r w:rsidR="007A1261" w:rsidRPr="00A835E5">
        <w:rPr>
          <w:rStyle w:val="FootnoteReference"/>
        </w:rPr>
        <w:footnoteReference w:id="2"/>
      </w:r>
      <w:r w:rsidR="007A1261" w:rsidRPr="00A835E5">
        <w:rPr>
          <w:rStyle w:val="FootnoteReference"/>
        </w:rPr>
        <w:t xml:space="preserve"> </w:t>
      </w:r>
      <w:r w:rsidR="007A1261">
        <w:t xml:space="preserve">  Aspects of th</w:t>
      </w:r>
      <w:r w:rsidR="005317B2">
        <w:t xml:space="preserve">ese </w:t>
      </w:r>
      <w:r w:rsidR="007A1261">
        <w:t>point</w:t>
      </w:r>
      <w:r w:rsidR="005317B2">
        <w:t>s</w:t>
      </w:r>
      <w:r w:rsidR="007A1261">
        <w:t xml:space="preserve"> were articulated in a 2017 essay by historian and playwright Bill Garner about the </w:t>
      </w:r>
      <w:r w:rsidR="005E7B3B">
        <w:t xml:space="preserve">proposed </w:t>
      </w:r>
      <w:r w:rsidR="007A1261">
        <w:t>removal of the timber superstructure (Brookes Jetty) at</w:t>
      </w:r>
      <w:r w:rsidR="007A1261" w:rsidRPr="00A835E5">
        <w:t xml:space="preserve"> the Shakespeare Grove Outfall</w:t>
      </w:r>
      <w:r w:rsidR="005E7B3B">
        <w:t xml:space="preserve"> in </w:t>
      </w:r>
      <w:r w:rsidR="007A1261">
        <w:t xml:space="preserve">St Kilda: </w:t>
      </w:r>
    </w:p>
    <w:p w14:paraId="711EC4B0" w14:textId="24018044" w:rsidR="007A1261" w:rsidRDefault="007A1261" w:rsidP="007A1261">
      <w:pPr>
        <w:pStyle w:val="Quotation"/>
      </w:pPr>
      <w:r>
        <w:t xml:space="preserve">Heritage was originally codified by the World Heritage Organisation of UNESCO as concerning the protection of monuments </w:t>
      </w:r>
      <w:r w:rsidR="005E7B3B">
        <w:t xml:space="preserve">[and] stand-alone structures.   </w:t>
      </w:r>
      <w:r>
        <w:t>That […] has now largely dissolved into protecting cultural landscapes.  These areas are much harder to put boundaries around than monuments, but importantly allow for the continuing role of surrounding communities as a component of their heritage value.  We can scale this down from world heritage to local heritage.  With respect to Brookes Jerry, its heritage value … derives not just from the remnant structure, but from the cultural landscape of which it is part.</w:t>
      </w:r>
      <w:r>
        <w:rPr>
          <w:rStyle w:val="FootnoteReference"/>
        </w:rPr>
        <w:footnoteReference w:id="3"/>
      </w:r>
    </w:p>
    <w:p w14:paraId="67F0FD4C" w14:textId="5166E7EE" w:rsidR="00174BA3" w:rsidRDefault="005E7B3B" w:rsidP="00CB41DE">
      <w:r w:rsidRPr="00E966A3">
        <w:t>These shifts in the heritage landscape pose considerable challenges to local government.  Promine</w:t>
      </w:r>
      <w:r w:rsidR="00E966A3" w:rsidRPr="00E966A3">
        <w:t xml:space="preserve">nt among them is </w:t>
      </w:r>
      <w:r w:rsidR="00E966A3">
        <w:t xml:space="preserve">coming </w:t>
      </w:r>
      <w:r w:rsidRPr="00E966A3">
        <w:t>to grips with what communities p</w:t>
      </w:r>
      <w:r w:rsidR="00CB41DE" w:rsidRPr="00E966A3">
        <w:t>erceive to be important and why</w:t>
      </w:r>
      <w:r w:rsidRPr="00E966A3">
        <w:t xml:space="preserve">, and </w:t>
      </w:r>
      <w:r w:rsidR="009C4F2B" w:rsidRPr="00E966A3">
        <w:t xml:space="preserve">how to </w:t>
      </w:r>
      <w:r w:rsidR="00127A67">
        <w:t>respond to th</w:t>
      </w:r>
      <w:r w:rsidR="000F53DF">
        <w:t>o</w:t>
      </w:r>
      <w:r w:rsidR="00127A67">
        <w:t>se valued places and attributes</w:t>
      </w:r>
      <w:r w:rsidR="000F53DF">
        <w:t>, s</w:t>
      </w:r>
      <w:r w:rsidR="00174BA3">
        <w:t xml:space="preserve">ome </w:t>
      </w:r>
      <w:r w:rsidR="000F53DF">
        <w:t xml:space="preserve">of which </w:t>
      </w:r>
      <w:r w:rsidR="00174BA3">
        <w:t xml:space="preserve">may have little to do with </w:t>
      </w:r>
      <w:r w:rsidR="000F53DF">
        <w:t xml:space="preserve">established ideas of </w:t>
      </w:r>
      <w:r w:rsidR="00174BA3">
        <w:t>heritage</w:t>
      </w:r>
      <w:r w:rsidR="005317B2">
        <w:t xml:space="preserve">.  As revealed by the Stage 1 consultation, </w:t>
      </w:r>
      <w:r w:rsidR="00174BA3">
        <w:t xml:space="preserve">for many </w:t>
      </w:r>
      <w:r w:rsidR="00190B6A">
        <w:t xml:space="preserve">people </w:t>
      </w:r>
      <w:r w:rsidR="00174BA3">
        <w:t xml:space="preserve">‘heritage’ relates to </w:t>
      </w:r>
      <w:r w:rsidR="00190B6A">
        <w:t xml:space="preserve">the </w:t>
      </w:r>
      <w:r w:rsidR="00174BA3">
        <w:t xml:space="preserve">amenity and lived experience of a neighbourhood rather than isolated buildings or areas within </w:t>
      </w:r>
      <w:r w:rsidR="00190B6A">
        <w:t>it</w:t>
      </w:r>
      <w:r w:rsidR="00174BA3">
        <w:t xml:space="preserve">.  </w:t>
      </w:r>
    </w:p>
    <w:p w14:paraId="0B79C436" w14:textId="3E6A3C59" w:rsidR="00174BA3" w:rsidRDefault="00E966A3" w:rsidP="00CB41DE">
      <w:r w:rsidRPr="00E966A3">
        <w:t>A related challenge is breaking the ‘threat paradigm’, where a proposal for change to a place that has not previously been identified as valued by a community becomes a trigger for protest</w:t>
      </w:r>
      <w:r>
        <w:t xml:space="preserve"> and conflict</w:t>
      </w:r>
      <w:r w:rsidRPr="00E966A3">
        <w:t>.</w:t>
      </w:r>
      <w:r>
        <w:t xml:space="preserve">  </w:t>
      </w:r>
      <w:r w:rsidR="00190B6A">
        <w:t>C</w:t>
      </w:r>
      <w:r w:rsidR="00453342">
        <w:t xml:space="preserve">onceptions of heritage are </w:t>
      </w:r>
      <w:r w:rsidR="00453342" w:rsidRPr="009C4F2B">
        <w:t>determined by personal experience</w:t>
      </w:r>
      <w:r w:rsidR="00453342">
        <w:t xml:space="preserve"> and values, and heritage places are necessarily diverse as a consequence.  This leads to the challenge of identifying and assessing communal sentiment, an intangible and dynamic value that has been demonstrated to be ill-suited to management under the </w:t>
      </w:r>
      <w:r w:rsidR="00453342" w:rsidRPr="00453342">
        <w:rPr>
          <w:i/>
        </w:rPr>
        <w:t>Planning and Environment Act, 1987</w:t>
      </w:r>
      <w:r w:rsidR="00453342">
        <w:t xml:space="preserve"> (Victoria).  </w:t>
      </w:r>
    </w:p>
    <w:p w14:paraId="38ACAF6C" w14:textId="08DFB365" w:rsidR="005E7B3B" w:rsidRPr="00453342" w:rsidRDefault="00453342" w:rsidP="00CB41DE">
      <w:r w:rsidRPr="00453342">
        <w:t xml:space="preserve">The </w:t>
      </w:r>
      <w:r w:rsidR="00CB41DE" w:rsidRPr="00453342">
        <w:t>context is further confused by shifts in the meani</w:t>
      </w:r>
      <w:r w:rsidRPr="00453342">
        <w:t xml:space="preserve">ng of ‘community’, a concept </w:t>
      </w:r>
      <w:r w:rsidR="00CB41DE" w:rsidRPr="00453342">
        <w:t>central to accepted definitions of social value.  Communities now form on line and may have no connection with each other or with heritage places, but still value them.  Digital and online platforms have also enabled community groups to express views about what’s importa</w:t>
      </w:r>
      <w:r w:rsidRPr="00453342">
        <w:t>nt why independent of Council and the media, l</w:t>
      </w:r>
      <w:r w:rsidR="00CB41DE" w:rsidRPr="00453342">
        <w:t xml:space="preserve">eading to questions about whether </w:t>
      </w:r>
      <w:r w:rsidRPr="00453342">
        <w:t xml:space="preserve">there is a requirement for a recalibration of the roles performed by local government and community groups in the identification and management of heritage. </w:t>
      </w:r>
    </w:p>
    <w:p w14:paraId="1406DCAF" w14:textId="453F0582" w:rsidR="007A1261" w:rsidRDefault="00BC3776" w:rsidP="00BC3776">
      <w:pPr>
        <w:pStyle w:val="Heading4"/>
        <w:rPr>
          <w:i/>
        </w:rPr>
      </w:pPr>
      <w:r w:rsidRPr="00CB41DE">
        <w:rPr>
          <w:i/>
        </w:rPr>
        <w:t>Findings</w:t>
      </w:r>
    </w:p>
    <w:p w14:paraId="7122B0F1" w14:textId="3C8C1EC0" w:rsidR="006A232D" w:rsidRDefault="006A232D" w:rsidP="006A232D">
      <w:r w:rsidRPr="009C4F2B">
        <w:t>A variety of engagement methods were applied during May and June 2018 as part of the ‘Heritage – Here and Now’ campaign, including an online survey, face-t</w:t>
      </w:r>
      <w:r w:rsidR="009C4F2B">
        <w:t>o</w:t>
      </w:r>
      <w:r w:rsidRPr="009C4F2B">
        <w:t>-face meetings w</w:t>
      </w:r>
      <w:r w:rsidR="009C4F2B">
        <w:t>ith ‘key stakeholders’ and pop-up stalls at South Melbourne Market, Balaclava Station and the Gasworks Farmer’s Market</w:t>
      </w:r>
      <w:r w:rsidR="000C4AB8">
        <w:t xml:space="preserve"> (the </w:t>
      </w:r>
      <w:r w:rsidR="000C4AB8">
        <w:lastRenderedPageBreak/>
        <w:t>Consultation Plan is At Appendix B)</w:t>
      </w:r>
      <w:r w:rsidRPr="009C4F2B">
        <w:t>.  It is estimated that over 2,500 people engaged with the campaign</w:t>
      </w:r>
      <w:r w:rsidR="000C4AB8">
        <w:t xml:space="preserve"> (see Consultation Report at Appendix C). </w:t>
      </w:r>
    </w:p>
    <w:p w14:paraId="1E11123D" w14:textId="78C7A22D" w:rsidR="00AB0945" w:rsidRPr="009C4F2B" w:rsidRDefault="001826F6" w:rsidP="006A232D">
      <w:r>
        <w:t xml:space="preserve">The engagement activities yielded a variety of outcomes, from quantitative data to personal observations and positions.  </w:t>
      </w:r>
      <w:r w:rsidR="000C4AB8">
        <w:t>It</w:t>
      </w:r>
      <w:r>
        <w:t xml:space="preserve"> is considered that the cumulative outcome, while unavoidably incomplete, provides a valuable source of observations and intelligence with the potential to inform future stages of the Heritage Program.</w:t>
      </w:r>
    </w:p>
    <w:p w14:paraId="543BE666" w14:textId="725EA0A8" w:rsidR="00CB41DE" w:rsidRPr="009C4F2B" w:rsidRDefault="00CB41DE" w:rsidP="006A232D">
      <w:pPr>
        <w:pStyle w:val="Heading4"/>
        <w:rPr>
          <w:b w:val="0"/>
          <w:i/>
        </w:rPr>
      </w:pPr>
      <w:r w:rsidRPr="009C4F2B">
        <w:rPr>
          <w:b w:val="0"/>
          <w:i/>
        </w:rPr>
        <w:t>What does ‘heritage’ mean to the people of Port Phillip in 2018?</w:t>
      </w:r>
    </w:p>
    <w:p w14:paraId="794C89AE" w14:textId="6BBD922B" w:rsidR="00A366C9" w:rsidRDefault="00242E3D" w:rsidP="00CB41DE">
      <w:r w:rsidRPr="009C4F2B">
        <w:t xml:space="preserve">The large majority of places identified during the consultation campaign were physical, including buildings, memorials and </w:t>
      </w:r>
      <w:r w:rsidR="005E164F" w:rsidRPr="009C4F2B">
        <w:t>public ope</w:t>
      </w:r>
      <w:r w:rsidR="009C4F2B">
        <w:t>n spaces.  Further, of the</w:t>
      </w:r>
      <w:r w:rsidR="009C4F2B" w:rsidRPr="009C4F2B">
        <w:t xml:space="preserve"> </w:t>
      </w:r>
      <w:r w:rsidR="009C4F2B" w:rsidRPr="00127A67">
        <w:t>approximately 30</w:t>
      </w:r>
      <w:r w:rsidR="00206408">
        <w:t xml:space="preserve">0 </w:t>
      </w:r>
      <w:r w:rsidR="009C4F2B" w:rsidRPr="00127A67">
        <w:t xml:space="preserve">places that were identified as being valued by at least one member of the community, </w:t>
      </w:r>
      <w:r w:rsidR="00206408">
        <w:t xml:space="preserve">around 70 per cent </w:t>
      </w:r>
      <w:r w:rsidR="009C4F2B" w:rsidRPr="00127A67">
        <w:t>are</w:t>
      </w:r>
      <w:r w:rsidR="009C4F2B" w:rsidRPr="009C4F2B">
        <w:t xml:space="preserve"> subject to </w:t>
      </w:r>
      <w:r w:rsidR="009C4F2B">
        <w:t xml:space="preserve">some level of heritage control </w:t>
      </w:r>
      <w:r w:rsidR="009C4F2B" w:rsidRPr="009C4F2B">
        <w:t>under the CoPP Planning Scheme</w:t>
      </w:r>
      <w:r w:rsidR="00A366C9">
        <w:t>.</w:t>
      </w:r>
      <w:r w:rsidR="009C4F2B" w:rsidRPr="009C4F2B">
        <w:rPr>
          <w:rStyle w:val="FootnoteReference"/>
        </w:rPr>
        <w:footnoteReference w:id="4"/>
      </w:r>
    </w:p>
    <w:p w14:paraId="06A9CAE2" w14:textId="0E148DA1" w:rsidR="009C4F2B" w:rsidRDefault="009C4F2B" w:rsidP="009C4F2B">
      <w:r w:rsidRPr="009C4F2B">
        <w:t xml:space="preserve">Relatively few examples of the building typologies </w:t>
      </w:r>
      <w:r w:rsidR="00EF3382">
        <w:t xml:space="preserve">anticipated by Council </w:t>
      </w:r>
      <w:r w:rsidRPr="009C4F2B">
        <w:t>as gaps in the PPHR (post-war places, industrial places and flats) were revealed through the consultation.  Instead, the gap revealed by the campaign is the distinction between the reasons why community groups value places and the reasons why they are subject to controls under the Planning Scheme</w:t>
      </w:r>
      <w:r>
        <w:t xml:space="preserve">.  </w:t>
      </w:r>
      <w:r w:rsidRPr="009C4F2B">
        <w:t>For many, h</w:t>
      </w:r>
      <w:r>
        <w:t>eritage is about narrative – ‘</w:t>
      </w:r>
      <w:r w:rsidRPr="009C4F2B">
        <w:t>it’s about the stories that build</w:t>
      </w:r>
      <w:r>
        <w:t xml:space="preserve">ings and places have to tell’ as one member of the community put it.  </w:t>
      </w:r>
      <w:r w:rsidR="005C3B2D">
        <w:t>A</w:t>
      </w:r>
      <w:r w:rsidR="00EA76D1">
        <w:t>l</w:t>
      </w:r>
      <w:r w:rsidR="005C3B2D">
        <w:t>s</w:t>
      </w:r>
      <w:r w:rsidR="00EA76D1">
        <w:t>o, as</w:t>
      </w:r>
      <w:r w:rsidR="005C3B2D">
        <w:t xml:space="preserve"> note</w:t>
      </w:r>
      <w:r w:rsidR="00F103CA">
        <w:t>d above</w:t>
      </w:r>
      <w:r w:rsidR="005C3B2D">
        <w:t>, an appreciation of what constitutes</w:t>
      </w:r>
      <w:r w:rsidRPr="009C4F2B">
        <w:t xml:space="preserve"> </w:t>
      </w:r>
      <w:r w:rsidR="005C3B2D">
        <w:t>‘</w:t>
      </w:r>
      <w:r w:rsidRPr="009C4F2B">
        <w:t>heritage</w:t>
      </w:r>
      <w:r w:rsidR="005C3B2D">
        <w:t xml:space="preserve">’ is </w:t>
      </w:r>
      <w:r w:rsidRPr="009C4F2B">
        <w:t>determined by personal and group experience</w:t>
      </w:r>
      <w:r w:rsidR="00F103CA">
        <w:t>’ w</w:t>
      </w:r>
      <w:r w:rsidRPr="009C4F2B">
        <w:t xml:space="preserve">hat is valued by some </w:t>
      </w:r>
      <w:r w:rsidR="005C3B2D">
        <w:t>m</w:t>
      </w:r>
      <w:r w:rsidRPr="009C4F2B">
        <w:t>ay not be</w:t>
      </w:r>
      <w:r>
        <w:t xml:space="preserve"> valued by others.  As a consequence, conceptions </w:t>
      </w:r>
      <w:r w:rsidRPr="009C4F2B">
        <w:t xml:space="preserve">of </w:t>
      </w:r>
      <w:r>
        <w:t>what</w:t>
      </w:r>
      <w:r w:rsidRPr="009C4F2B">
        <w:t xml:space="preserve"> heritage mean</w:t>
      </w:r>
      <w:r>
        <w:t>s</w:t>
      </w:r>
      <w:r w:rsidRPr="009C4F2B">
        <w:t xml:space="preserve"> to the</w:t>
      </w:r>
      <w:r>
        <w:t xml:space="preserve"> people of Port Phillip in 2018 are </w:t>
      </w:r>
      <w:r w:rsidRPr="009C4F2B">
        <w:t>necessarily fragmented</w:t>
      </w:r>
      <w:r>
        <w:t xml:space="preserve"> (discussed below).  </w:t>
      </w:r>
      <w:r w:rsidRPr="009C4F2B">
        <w:t>A further outcome is that the community, at a generalised level, takes a broad view of heritage, one that is not so much focussed on buildings and monuments, but on ‘place’ at a wider scale.</w:t>
      </w:r>
    </w:p>
    <w:p w14:paraId="17BDC0E8" w14:textId="77777777" w:rsidR="006A232D" w:rsidRPr="009C4F2B" w:rsidRDefault="006A232D" w:rsidP="006A232D">
      <w:pPr>
        <w:pStyle w:val="Heading4"/>
        <w:rPr>
          <w:b w:val="0"/>
          <w:i/>
        </w:rPr>
      </w:pPr>
      <w:r w:rsidRPr="009C4F2B">
        <w:rPr>
          <w:b w:val="0"/>
          <w:i/>
        </w:rPr>
        <w:t>What types of places are valued by the community, and why?</w:t>
      </w:r>
    </w:p>
    <w:p w14:paraId="0E0DDB51" w14:textId="1F7E6066" w:rsidR="00174BA3" w:rsidRDefault="0036715A" w:rsidP="00174BA3">
      <w:r>
        <w:t>Over 15</w:t>
      </w:r>
      <w:r w:rsidR="009847B5">
        <w:t xml:space="preserve"> per cent</w:t>
      </w:r>
      <w:r>
        <w:t xml:space="preserve"> of the c. 300 </w:t>
      </w:r>
      <w:r w:rsidR="00174BA3">
        <w:t>places/attributes identified by the community during the campaign were l</w:t>
      </w:r>
      <w:r w:rsidR="004A222D" w:rsidRPr="009C4F2B">
        <w:t>arge-</w:t>
      </w:r>
      <w:r w:rsidR="004A222D" w:rsidRPr="00174BA3">
        <w:t>scale areas (landscapes) within which buildings, attributes, natural characteristics and elements are v</w:t>
      </w:r>
      <w:r>
        <w:t xml:space="preserve">alued collectively.  </w:t>
      </w:r>
      <w:r w:rsidR="00174BA3" w:rsidRPr="00174BA3">
        <w:t xml:space="preserve">‘Established significant trees/boulevards’; </w:t>
      </w:r>
      <w:r w:rsidR="00127A67">
        <w:t>‘</w:t>
      </w:r>
      <w:r w:rsidR="00174BA3" w:rsidRPr="00174BA3">
        <w:t xml:space="preserve">weatherboard cottages’; and ‘low rise architecture and views of the sky’ were some of the responses. </w:t>
      </w:r>
    </w:p>
    <w:p w14:paraId="585224AF" w14:textId="7C73430C" w:rsidR="006A232D" w:rsidRPr="00174BA3" w:rsidRDefault="005E1750" w:rsidP="006A232D">
      <w:r>
        <w:t>Public o</w:t>
      </w:r>
      <w:r w:rsidR="006A232D" w:rsidRPr="00174BA3">
        <w:t xml:space="preserve">pen spaces </w:t>
      </w:r>
      <w:r w:rsidR="00174BA3" w:rsidRPr="00174BA3">
        <w:t xml:space="preserve">featured </w:t>
      </w:r>
      <w:r w:rsidR="005C3B2D">
        <w:t>prominently</w:t>
      </w:r>
      <w:r w:rsidR="00174BA3" w:rsidRPr="00174BA3">
        <w:t xml:space="preserve">, with beaches, the foreshore, parks and gardens being identified by over 70% of the </w:t>
      </w:r>
      <w:r w:rsidR="006A232D" w:rsidRPr="00174BA3">
        <w:t xml:space="preserve">217 respondents to the </w:t>
      </w:r>
      <w:r w:rsidR="00174BA3" w:rsidRPr="00174BA3">
        <w:t xml:space="preserve">online </w:t>
      </w:r>
      <w:r w:rsidR="006A232D" w:rsidRPr="00174BA3">
        <w:t>survey, a</w:t>
      </w:r>
      <w:r w:rsidR="005C3B2D">
        <w:t xml:space="preserve">s well as </w:t>
      </w:r>
      <w:r w:rsidR="00174BA3" w:rsidRPr="00174BA3">
        <w:t xml:space="preserve">being </w:t>
      </w:r>
      <w:r w:rsidR="006A232D" w:rsidRPr="00174BA3">
        <w:t>referenced regularly during face-to-face meetings.</w:t>
      </w:r>
    </w:p>
    <w:p w14:paraId="06378C54" w14:textId="42271ABD" w:rsidR="006A232D" w:rsidRDefault="006A232D" w:rsidP="006A232D">
      <w:r w:rsidRPr="009C4F2B">
        <w:t xml:space="preserve">‘Local landmarks’, including buildings/places that are specific to the </w:t>
      </w:r>
      <w:r w:rsidR="00752CC3">
        <w:t>municipa</w:t>
      </w:r>
      <w:r w:rsidRPr="009C4F2B">
        <w:t xml:space="preserve">lity or otherwise visually </w:t>
      </w:r>
      <w:r w:rsidR="00752CC3">
        <w:t>distinctive</w:t>
      </w:r>
      <w:r w:rsidRPr="009C4F2B">
        <w:t>, were identified by 177 of the 217 re</w:t>
      </w:r>
      <w:r w:rsidR="00174BA3">
        <w:t xml:space="preserve">spondents to the online survey.  Examples include </w:t>
      </w:r>
      <w:r w:rsidRPr="009C4F2B">
        <w:t>the Palais, Luna</w:t>
      </w:r>
      <w:r w:rsidR="00174BA3">
        <w:t xml:space="preserve"> Park, St Kilda Pier, the Espy and </w:t>
      </w:r>
      <w:r w:rsidRPr="009C4F2B">
        <w:t>P</w:t>
      </w:r>
      <w:r w:rsidR="00174BA3">
        <w:t xml:space="preserve">ort Melbourne Leading Lights.  </w:t>
      </w:r>
    </w:p>
    <w:p w14:paraId="656CD15A" w14:textId="1FD9BF98" w:rsidR="00EA0B0A" w:rsidRDefault="004A222D" w:rsidP="004A222D">
      <w:r w:rsidRPr="009C4F2B">
        <w:t>B</w:t>
      </w:r>
      <w:r w:rsidR="001826F6">
        <w:t xml:space="preserve">uildings that have </w:t>
      </w:r>
      <w:r w:rsidR="00752CC3">
        <w:t xml:space="preserve">been </w:t>
      </w:r>
      <w:r w:rsidR="001826F6">
        <w:t>re-purposed and/or adapted over time</w:t>
      </w:r>
      <w:r w:rsidR="00752CC3">
        <w:t xml:space="preserve"> are valued for the ability of their evolved form to express aspects of </w:t>
      </w:r>
      <w:r w:rsidR="001826F6">
        <w:t>their histor</w:t>
      </w:r>
      <w:r w:rsidR="00752CC3">
        <w:t>y</w:t>
      </w:r>
      <w:r w:rsidR="009847B5">
        <w:t>.  T</w:t>
      </w:r>
      <w:r w:rsidR="001826F6">
        <w:t>his relates to the idea of heritage as narrative</w:t>
      </w:r>
      <w:r w:rsidR="00752CC3">
        <w:t xml:space="preserve"> </w:t>
      </w:r>
      <w:r w:rsidR="001826F6">
        <w:t xml:space="preserve">noted above.  </w:t>
      </w:r>
    </w:p>
    <w:p w14:paraId="72D07745" w14:textId="522666A8" w:rsidR="004A222D" w:rsidRDefault="005E1750" w:rsidP="004A222D">
      <w:r>
        <w:t xml:space="preserve">Other types of places that are </w:t>
      </w:r>
      <w:r w:rsidRPr="001826F6">
        <w:t>valued by the community</w:t>
      </w:r>
      <w:r>
        <w:t xml:space="preserve"> include </w:t>
      </w:r>
      <w:r w:rsidR="00EA0B0A">
        <w:t>sites o</w:t>
      </w:r>
      <w:r w:rsidRPr="009C4F2B">
        <w:t>f reflection, memory, commemoratio</w:t>
      </w:r>
      <w:r>
        <w:t>n</w:t>
      </w:r>
      <w:r w:rsidR="00EA0B0A">
        <w:t xml:space="preserve">; </w:t>
      </w:r>
      <w:r>
        <w:t>pl</w:t>
      </w:r>
      <w:r w:rsidRPr="009C4F2B">
        <w:t xml:space="preserve">aces </w:t>
      </w:r>
      <w:r>
        <w:t>of communal recreation and congregation, such as markets and sports clubs</w:t>
      </w:r>
      <w:r w:rsidR="00EA0B0A">
        <w:t>; and p</w:t>
      </w:r>
      <w:r>
        <w:t xml:space="preserve">laces/buildings that have been demolished, specifically the </w:t>
      </w:r>
      <w:r w:rsidR="004A222D" w:rsidRPr="009C4F2B">
        <w:t>London</w:t>
      </w:r>
      <w:r w:rsidR="001826F6">
        <w:t xml:space="preserve"> Hotel, Greyhound Hotel</w:t>
      </w:r>
      <w:r>
        <w:t xml:space="preserve"> and the timber superstructure of Brookes Jetty</w:t>
      </w:r>
      <w:r w:rsidR="001826F6">
        <w:t xml:space="preserve">.  </w:t>
      </w:r>
      <w:r>
        <w:t xml:space="preserve">The campaign also revealed attributes/features </w:t>
      </w:r>
      <w:r w:rsidR="004A222D" w:rsidRPr="005E1750">
        <w:t>that are not buildings or places</w:t>
      </w:r>
      <w:r w:rsidRPr="005E1750">
        <w:t xml:space="preserve">, including </w:t>
      </w:r>
      <w:r w:rsidR="004A222D" w:rsidRPr="005E1750">
        <w:t>heritage plaque</w:t>
      </w:r>
      <w:r w:rsidRPr="005E1750">
        <w:t xml:space="preserve">s, </w:t>
      </w:r>
      <w:r w:rsidR="004A222D" w:rsidRPr="005E1750">
        <w:t>enamel street signs</w:t>
      </w:r>
      <w:r w:rsidRPr="005E1750">
        <w:t xml:space="preserve">, </w:t>
      </w:r>
      <w:r w:rsidR="004A222D" w:rsidRPr="005E1750">
        <w:t>street parties</w:t>
      </w:r>
      <w:r w:rsidRPr="005E1750">
        <w:t xml:space="preserve"> and the St Kilda </w:t>
      </w:r>
      <w:r w:rsidR="004A222D" w:rsidRPr="005E1750">
        <w:t>penguins.</w:t>
      </w:r>
    </w:p>
    <w:p w14:paraId="263D2655" w14:textId="22780AA0" w:rsidR="00EA0B0A" w:rsidRPr="005E1750" w:rsidRDefault="00EA0B0A" w:rsidP="004A222D">
      <w:r>
        <w:lastRenderedPageBreak/>
        <w:t xml:space="preserve">Place typologies that </w:t>
      </w:r>
      <w:r w:rsidR="00214AA1">
        <w:t>did not feature strongly</w:t>
      </w:r>
      <w:r>
        <w:t xml:space="preserve"> include </w:t>
      </w:r>
      <w:r w:rsidR="00F103CA">
        <w:t xml:space="preserve">churches/places of </w:t>
      </w:r>
      <w:r>
        <w:t xml:space="preserve">worship and residential buildings.  </w:t>
      </w:r>
    </w:p>
    <w:p w14:paraId="4983ADD6" w14:textId="0780DF97" w:rsidR="004A222D" w:rsidRPr="009C4F2B" w:rsidRDefault="004A222D" w:rsidP="004A222D">
      <w:pPr>
        <w:pStyle w:val="Heading4"/>
        <w:rPr>
          <w:b w:val="0"/>
          <w:i/>
        </w:rPr>
      </w:pPr>
      <w:r w:rsidRPr="009C4F2B">
        <w:rPr>
          <w:b w:val="0"/>
          <w:i/>
        </w:rPr>
        <w:t>Places (typologies and specific examples) that are valued but not controlled</w:t>
      </w:r>
    </w:p>
    <w:p w14:paraId="41F72BE7" w14:textId="4D7B250D" w:rsidR="004A222D" w:rsidRPr="00F612EF" w:rsidRDefault="00736316" w:rsidP="004A222D">
      <w:pPr>
        <w:pStyle w:val="list1"/>
        <w:numPr>
          <w:ilvl w:val="0"/>
          <w:numId w:val="0"/>
        </w:numPr>
      </w:pPr>
      <w:r>
        <w:t>Approximately 70</w:t>
      </w:r>
      <w:r w:rsidR="00F103CA">
        <w:t xml:space="preserve"> </w:t>
      </w:r>
      <w:r w:rsidR="004A222D" w:rsidRPr="00214AA1">
        <w:t>places</w:t>
      </w:r>
      <w:r w:rsidR="00214AA1">
        <w:t xml:space="preserve"> and/or attributes </w:t>
      </w:r>
      <w:r w:rsidR="004A222D" w:rsidRPr="00214AA1">
        <w:t xml:space="preserve">that are valued by the community but are not the subject of formal heritage controls were identified during the campaign </w:t>
      </w:r>
      <w:r w:rsidR="00214AA1" w:rsidRPr="00214AA1">
        <w:t xml:space="preserve">(see list at Section </w:t>
      </w:r>
      <w:r w:rsidR="00214AA1" w:rsidRPr="00214AA1">
        <w:fldChar w:fldCharType="begin"/>
      </w:r>
      <w:r w:rsidR="00214AA1" w:rsidRPr="00214AA1">
        <w:instrText xml:space="preserve"> REF _Ref520172293 \r \h </w:instrText>
      </w:r>
      <w:r w:rsidR="00214AA1">
        <w:instrText xml:space="preserve"> \* MERGEFORMAT </w:instrText>
      </w:r>
      <w:r w:rsidR="00214AA1" w:rsidRPr="00214AA1">
        <w:fldChar w:fldCharType="separate"/>
      </w:r>
      <w:r w:rsidR="003E105F">
        <w:t>6.2.2</w:t>
      </w:r>
      <w:r w:rsidR="00214AA1" w:rsidRPr="00214AA1">
        <w:fldChar w:fldCharType="end"/>
      </w:r>
      <w:r w:rsidR="004A222D" w:rsidRPr="00214AA1">
        <w:t>).  These include markets,</w:t>
      </w:r>
      <w:r w:rsidR="006F4381" w:rsidRPr="00214AA1">
        <w:t xml:space="preserve"> p</w:t>
      </w:r>
      <w:r w:rsidR="004A222D" w:rsidRPr="00214AA1">
        <w:t>ublic open spaces (beac</w:t>
      </w:r>
      <w:r w:rsidR="00214AA1" w:rsidRPr="00214AA1">
        <w:t xml:space="preserve">hes, parks and </w:t>
      </w:r>
      <w:r w:rsidR="004A222D" w:rsidRPr="00214AA1">
        <w:t>gardens), community facilities (such as community centre and community gardens)</w:t>
      </w:r>
      <w:r w:rsidR="006F4381" w:rsidRPr="00214AA1">
        <w:t xml:space="preserve"> and </w:t>
      </w:r>
      <w:r w:rsidR="004A222D" w:rsidRPr="00214AA1">
        <w:t xml:space="preserve">bars/restaurants as well as </w:t>
      </w:r>
      <w:r w:rsidR="006F4381" w:rsidRPr="00214AA1">
        <w:t>events (</w:t>
      </w:r>
      <w:r w:rsidR="004A222D" w:rsidRPr="00214AA1">
        <w:t>school fetes and street parties</w:t>
      </w:r>
      <w:r w:rsidR="00214AA1">
        <w:t xml:space="preserve">) and the </w:t>
      </w:r>
      <w:r w:rsidR="006F4381" w:rsidRPr="00214AA1">
        <w:t>penguins</w:t>
      </w:r>
      <w:r w:rsidR="00214AA1">
        <w:t xml:space="preserve"> of Port Phillip Bay</w:t>
      </w:r>
      <w:r w:rsidR="006F4381" w:rsidRPr="00214AA1">
        <w:t>.</w:t>
      </w:r>
      <w:r w:rsidR="006F4381">
        <w:t xml:space="preserve">  </w:t>
      </w:r>
    </w:p>
    <w:p w14:paraId="06D1FE51" w14:textId="3BEF661A" w:rsidR="004A222D" w:rsidRDefault="005E164F" w:rsidP="004A222D">
      <w:pPr>
        <w:pStyle w:val="list1"/>
        <w:numPr>
          <w:ilvl w:val="0"/>
          <w:numId w:val="0"/>
        </w:numPr>
      </w:pPr>
      <w:r w:rsidRPr="00EA0B0A">
        <w:t>A</w:t>
      </w:r>
      <w:r w:rsidR="004A222D" w:rsidRPr="00EA0B0A">
        <w:t>n underpinning rationale for the identification of many of these places relates to use, experience and amenity.  These issues fall outside existing models of heritage management and practice and are typically handled by non-heritage related Council services and disciplines.  It is also the case that a percentage of the places identified would not be considered ‘heritage’ places unde</w:t>
      </w:r>
      <w:r w:rsidR="00AC21BF">
        <w:t>r current assessment protocols</w:t>
      </w:r>
      <w:r w:rsidRPr="00EA0B0A">
        <w:t xml:space="preserve">. </w:t>
      </w:r>
    </w:p>
    <w:p w14:paraId="47DEAD89" w14:textId="3BE2928E" w:rsidR="00EA2E8C" w:rsidRPr="00F103CA" w:rsidRDefault="00214AA1" w:rsidP="00AC21BF">
      <w:pPr>
        <w:tabs>
          <w:tab w:val="clear" w:pos="284"/>
        </w:tabs>
        <w:autoSpaceDE w:val="0"/>
        <w:autoSpaceDN w:val="0"/>
        <w:adjustRightInd w:val="0"/>
        <w:spacing w:after="0" w:line="240" w:lineRule="auto"/>
      </w:pPr>
      <w:r>
        <w:t>A general observation is that respondents</w:t>
      </w:r>
      <w:r w:rsidR="00377129">
        <w:t xml:space="preserve"> to the campaign did not, typically, </w:t>
      </w:r>
      <w:r>
        <w:t>express concerns about the princip</w:t>
      </w:r>
      <w:r w:rsidR="00EA2E8C">
        <w:t>le</w:t>
      </w:r>
      <w:r>
        <w:t xml:space="preserve"> of development and change</w:t>
      </w:r>
      <w:r w:rsidR="00F103CA">
        <w:t xml:space="preserve">.  </w:t>
      </w:r>
    </w:p>
    <w:p w14:paraId="26F6F9C7" w14:textId="4697A968" w:rsidR="005E164F" w:rsidRPr="009C4F2B" w:rsidRDefault="005E164F" w:rsidP="005E164F">
      <w:pPr>
        <w:pStyle w:val="Heading4"/>
        <w:rPr>
          <w:b w:val="0"/>
          <w:i/>
        </w:rPr>
      </w:pPr>
      <w:r w:rsidRPr="009C4F2B">
        <w:rPr>
          <w:b w:val="0"/>
          <w:i/>
        </w:rPr>
        <w:t xml:space="preserve">Public appreciation of heritage controls and programs </w:t>
      </w:r>
    </w:p>
    <w:p w14:paraId="46A5C4A9" w14:textId="52FD8AFB" w:rsidR="00AB0945" w:rsidRPr="00BE13C1" w:rsidRDefault="000A7C5C" w:rsidP="005E164F">
      <w:r w:rsidRPr="000A7C5C">
        <w:t xml:space="preserve">There are, of course, individuals and groups – including historical societies and activist associations – with a sophisticated appreciation of heritage legislation and the variety of programs run by Council.  </w:t>
      </w:r>
      <w:r w:rsidR="005E164F" w:rsidRPr="000A7C5C">
        <w:t xml:space="preserve">At a general level, </w:t>
      </w:r>
      <w:r w:rsidRPr="000A7C5C">
        <w:t xml:space="preserve">however, </w:t>
      </w:r>
      <w:r w:rsidR="005E164F" w:rsidRPr="000A7C5C">
        <w:t xml:space="preserve">it is apparent that the community has a limited understanding of the planning system, resulting in </w:t>
      </w:r>
      <w:r w:rsidR="00A538E4" w:rsidRPr="000A7C5C">
        <w:t xml:space="preserve">sometimes </w:t>
      </w:r>
      <w:r w:rsidR="005E164F" w:rsidRPr="000A7C5C">
        <w:t>unrealistic expectations about their capacity and potential to influence outcomes</w:t>
      </w:r>
      <w:r w:rsidR="005E164F" w:rsidRPr="009847B5">
        <w:t xml:space="preserve">.  </w:t>
      </w:r>
      <w:r w:rsidR="00736316" w:rsidRPr="009847B5">
        <w:t xml:space="preserve">This is </w:t>
      </w:r>
      <w:r w:rsidR="009847B5">
        <w:t>compounded</w:t>
      </w:r>
      <w:r w:rsidR="00736316" w:rsidRPr="009847B5">
        <w:t xml:space="preserve"> by Council’s heritage webpage, which is not regarded as being user</w:t>
      </w:r>
      <w:r w:rsidR="009847B5">
        <w:t>-</w:t>
      </w:r>
      <w:r w:rsidR="00736316" w:rsidRPr="009847B5">
        <w:t xml:space="preserve">friendly. </w:t>
      </w:r>
    </w:p>
    <w:p w14:paraId="51D25640" w14:textId="77777777" w:rsidR="00736316" w:rsidRDefault="00AB0945" w:rsidP="00736316">
      <w:pPr>
        <w:rPr>
          <w:shd w:val="clear" w:color="auto" w:fill="FFFFFF"/>
        </w:rPr>
      </w:pPr>
      <w:r w:rsidRPr="00AB0945">
        <w:t xml:space="preserve">A </w:t>
      </w:r>
      <w:r w:rsidR="00736316">
        <w:t xml:space="preserve">large </w:t>
      </w:r>
      <w:r w:rsidRPr="00AB0945">
        <w:t>number of respondents to the campaign made the observation that the community can and should have a greater role to play in the management and celebration of the municipality’s heritage buildings and character.  ‘</w:t>
      </w:r>
      <w:r w:rsidR="005E164F" w:rsidRPr="00BE13C1">
        <w:t>It shouldn’t</w:t>
      </w:r>
      <w:r w:rsidR="005E164F" w:rsidRPr="00AB0945">
        <w:rPr>
          <w:shd w:val="clear" w:color="auto" w:fill="FFFFFF"/>
        </w:rPr>
        <w:t xml:space="preserve"> just be about Council taking a lead … it can be very heavy handed.  We [the community] should take more responsibility</w:t>
      </w:r>
      <w:r w:rsidRPr="00AB0945">
        <w:rPr>
          <w:shd w:val="clear" w:color="auto" w:fill="FFFFFF"/>
        </w:rPr>
        <w:t>,’ was one commen</w:t>
      </w:r>
      <w:r>
        <w:rPr>
          <w:shd w:val="clear" w:color="auto" w:fill="FFFFFF"/>
        </w:rPr>
        <w:t xml:space="preserve">t received.  </w:t>
      </w:r>
    </w:p>
    <w:p w14:paraId="24A868F8" w14:textId="5540B329" w:rsidR="00736316" w:rsidRDefault="009847B5" w:rsidP="00AB0945">
      <w:r>
        <w:t>One issue that the s</w:t>
      </w:r>
      <w:r w:rsidR="00736316" w:rsidRPr="009847B5">
        <w:t xml:space="preserve">urvey did not specify but </w:t>
      </w:r>
      <w:r w:rsidRPr="009847B5">
        <w:t xml:space="preserve">was </w:t>
      </w:r>
      <w:r w:rsidR="00736316" w:rsidRPr="009847B5">
        <w:t xml:space="preserve">touched upon </w:t>
      </w:r>
      <w:r w:rsidRPr="009847B5">
        <w:t>during the campaign</w:t>
      </w:r>
      <w:r w:rsidR="00736316" w:rsidRPr="009847B5">
        <w:t xml:space="preserve"> </w:t>
      </w:r>
      <w:r>
        <w:t xml:space="preserve">is what the community expects of Council, particularly </w:t>
      </w:r>
      <w:r w:rsidR="00BE13C1">
        <w:t xml:space="preserve">as regards where </w:t>
      </w:r>
      <w:r>
        <w:t xml:space="preserve">Council should </w:t>
      </w:r>
      <w:r w:rsidR="00BE13C1">
        <w:t xml:space="preserve">take a </w:t>
      </w:r>
      <w:r>
        <w:t>lead</w:t>
      </w:r>
      <w:r w:rsidR="00736316" w:rsidRPr="009847B5">
        <w:t xml:space="preserve">. </w:t>
      </w:r>
      <w:r w:rsidRPr="009847B5">
        <w:t xml:space="preserve"> </w:t>
      </w:r>
      <w:r w:rsidR="00736316" w:rsidRPr="009847B5">
        <w:t>Whi</w:t>
      </w:r>
      <w:r w:rsidRPr="009847B5">
        <w:t>le</w:t>
      </w:r>
      <w:r w:rsidR="00736316" w:rsidRPr="009847B5">
        <w:t xml:space="preserve"> owners/tenants </w:t>
      </w:r>
      <w:r w:rsidRPr="009847B5">
        <w:t xml:space="preserve">of historic properties generally accept that they </w:t>
      </w:r>
      <w:r w:rsidR="00736316" w:rsidRPr="009847B5">
        <w:t xml:space="preserve">have responsibility </w:t>
      </w:r>
      <w:r w:rsidRPr="009847B5">
        <w:t>for maintaining them</w:t>
      </w:r>
      <w:r w:rsidR="00736316" w:rsidRPr="009847B5">
        <w:t xml:space="preserve">, they hold Council responsible for </w:t>
      </w:r>
      <w:r w:rsidR="00637D45">
        <w:t xml:space="preserve">maintaining the </w:t>
      </w:r>
      <w:r>
        <w:t xml:space="preserve">public realm </w:t>
      </w:r>
      <w:r w:rsidR="00637D45">
        <w:t>and the</w:t>
      </w:r>
      <w:r w:rsidR="00736316" w:rsidRPr="009847B5">
        <w:t xml:space="preserve"> character a</w:t>
      </w:r>
      <w:r w:rsidR="00637D45">
        <w:t xml:space="preserve">nd presentation of precincts – for instance, maintaining the presentation of historic </w:t>
      </w:r>
      <w:r w:rsidR="00736316" w:rsidRPr="009847B5">
        <w:t>retail strips</w:t>
      </w:r>
      <w:r w:rsidR="00637D45">
        <w:t xml:space="preserve">.  </w:t>
      </w:r>
    </w:p>
    <w:p w14:paraId="054B4402" w14:textId="0EE8E16C" w:rsidR="00637D45" w:rsidRPr="00F94AD2" w:rsidRDefault="00637D45" w:rsidP="00AB0945">
      <w:r w:rsidRPr="00983B4D">
        <w:t>Further, there are divergent views on Council policies and processes</w:t>
      </w:r>
      <w:r w:rsidR="00F94AD2">
        <w:t>.  S</w:t>
      </w:r>
      <w:r w:rsidRPr="00983B4D">
        <w:t xml:space="preserve">ome people see </w:t>
      </w:r>
      <w:r w:rsidR="00983B4D" w:rsidRPr="00983B4D">
        <w:t>them</w:t>
      </w:r>
      <w:r w:rsidRPr="00983B4D">
        <w:t xml:space="preserve"> as overly restrictive</w:t>
      </w:r>
      <w:r w:rsidR="00983B4D" w:rsidRPr="00983B4D">
        <w:t xml:space="preserve"> and an </w:t>
      </w:r>
      <w:r w:rsidRPr="00983B4D">
        <w:t>obstructi</w:t>
      </w:r>
      <w:r w:rsidR="00983B4D" w:rsidRPr="00983B4D">
        <w:t xml:space="preserve">on </w:t>
      </w:r>
      <w:r w:rsidR="00F94AD2">
        <w:t xml:space="preserve">to </w:t>
      </w:r>
      <w:r w:rsidRPr="00983B4D">
        <w:t>economic growth</w:t>
      </w:r>
      <w:r w:rsidR="00F94AD2">
        <w:t>, a</w:t>
      </w:r>
      <w:r w:rsidR="00983B4D" w:rsidRPr="00983B4D">
        <w:t xml:space="preserve">nd </w:t>
      </w:r>
      <w:r w:rsidRPr="00983B4D">
        <w:t xml:space="preserve">others </w:t>
      </w:r>
      <w:r w:rsidR="00983B4D" w:rsidRPr="00983B4D">
        <w:t>regard</w:t>
      </w:r>
      <w:r w:rsidR="00F94AD2">
        <w:t xml:space="preserve"> </w:t>
      </w:r>
      <w:r w:rsidR="00983B4D" w:rsidRPr="00983B4D">
        <w:t>them as</w:t>
      </w:r>
      <w:r w:rsidRPr="00983B4D">
        <w:t xml:space="preserve"> inadequate</w:t>
      </w:r>
      <w:r w:rsidR="00983B4D">
        <w:t xml:space="preserve"> </w:t>
      </w:r>
      <w:r w:rsidRPr="00983B4D">
        <w:t xml:space="preserve">and </w:t>
      </w:r>
      <w:r w:rsidR="00983B4D" w:rsidRPr="00983B4D">
        <w:t>failing to</w:t>
      </w:r>
      <w:r w:rsidRPr="00983B4D">
        <w:t xml:space="preserve"> prevent inappropriate development</w:t>
      </w:r>
      <w:r w:rsidR="00983B4D">
        <w:t xml:space="preserve">.  </w:t>
      </w:r>
      <w:r w:rsidR="00983B4D" w:rsidRPr="00F94AD2">
        <w:t xml:space="preserve">There is, however, a high degree </w:t>
      </w:r>
      <w:r w:rsidR="00F94AD2" w:rsidRPr="00F94AD2">
        <w:t xml:space="preserve">of community support for </w:t>
      </w:r>
      <w:r w:rsidR="00983B4D" w:rsidRPr="00F94AD2">
        <w:t>heritage studies</w:t>
      </w:r>
      <w:r w:rsidR="00F94AD2" w:rsidRPr="00F94AD2">
        <w:t xml:space="preserve">, which are </w:t>
      </w:r>
      <w:r w:rsidR="00F94AD2">
        <w:t>recognised</w:t>
      </w:r>
      <w:r w:rsidR="00F94AD2" w:rsidRPr="00F94AD2">
        <w:t xml:space="preserve"> as providing a sound foundation for the identification and assessment of the municipality’s heritage assets and attributes.</w:t>
      </w:r>
      <w:r w:rsidR="00F94AD2">
        <w:rPr>
          <w:rStyle w:val="FootnoteReference"/>
        </w:rPr>
        <w:footnoteReference w:id="5"/>
      </w:r>
    </w:p>
    <w:p w14:paraId="34065F67" w14:textId="5901EE9F" w:rsidR="005E164F" w:rsidRPr="00F94AD2" w:rsidRDefault="005E164F" w:rsidP="005E164F">
      <w:pPr>
        <w:pStyle w:val="Heading4"/>
        <w:rPr>
          <w:b w:val="0"/>
          <w:i/>
        </w:rPr>
      </w:pPr>
      <w:r w:rsidRPr="00F94AD2">
        <w:rPr>
          <w:b w:val="0"/>
          <w:i/>
        </w:rPr>
        <w:t xml:space="preserve">What more </w:t>
      </w:r>
      <w:r w:rsidR="00AB0945" w:rsidRPr="00F94AD2">
        <w:rPr>
          <w:b w:val="0"/>
          <w:i/>
        </w:rPr>
        <w:t xml:space="preserve">can </w:t>
      </w:r>
      <w:r w:rsidRPr="00F94AD2">
        <w:rPr>
          <w:b w:val="0"/>
          <w:i/>
        </w:rPr>
        <w:t xml:space="preserve">Council do to identify, protect and celebrate heritage? </w:t>
      </w:r>
    </w:p>
    <w:p w14:paraId="59BCB99E" w14:textId="77777777" w:rsidR="00637D45" w:rsidRDefault="00A813FF" w:rsidP="00A813FF">
      <w:r w:rsidRPr="00F94AD2">
        <w:t xml:space="preserve">The importance of exploring alternatives to the Planning Scheme as tools to protect and celebrate heritage places was emphasised </w:t>
      </w:r>
      <w:r w:rsidR="00F103CA" w:rsidRPr="00F94AD2">
        <w:t xml:space="preserve">by Council officers </w:t>
      </w:r>
      <w:r w:rsidRPr="00F94AD2">
        <w:t xml:space="preserve">at the </w:t>
      </w:r>
      <w:r w:rsidR="00F103CA" w:rsidRPr="00F94AD2">
        <w:t xml:space="preserve">project </w:t>
      </w:r>
      <w:r w:rsidRPr="00F94AD2">
        <w:t>inception stage</w:t>
      </w:r>
      <w:r w:rsidRPr="0071699E">
        <w:t>.  The issue was a core part of the survey and was discussed at all face-to-face meetings</w:t>
      </w:r>
      <w:r w:rsidR="006306A1">
        <w:t xml:space="preserve"> </w:t>
      </w:r>
      <w:r w:rsidRPr="0071699E">
        <w:t xml:space="preserve">and was generally warmly embraced.  </w:t>
      </w:r>
    </w:p>
    <w:p w14:paraId="7F35D7D0" w14:textId="28FC7452" w:rsidR="00A813FF" w:rsidRPr="0071699E" w:rsidRDefault="00A813FF" w:rsidP="00A813FF">
      <w:r w:rsidRPr="0071699E">
        <w:t xml:space="preserve">Heritage interpretation signage and plaques </w:t>
      </w:r>
      <w:r w:rsidR="006306A1">
        <w:t>are</w:t>
      </w:r>
      <w:r w:rsidRPr="0071699E">
        <w:t xml:space="preserve"> popular, for their ability to convey stories a</w:t>
      </w:r>
      <w:r w:rsidR="006306A1">
        <w:t xml:space="preserve">bout </w:t>
      </w:r>
      <w:r w:rsidR="002A0B6C">
        <w:t xml:space="preserve">buildings/places. </w:t>
      </w:r>
      <w:r w:rsidR="00F94AD2">
        <w:t xml:space="preserve"> </w:t>
      </w:r>
      <w:r w:rsidR="005E647F">
        <w:t>However, c</w:t>
      </w:r>
      <w:r w:rsidRPr="0071699E">
        <w:t xml:space="preserve">oncerns were raised regarding their </w:t>
      </w:r>
      <w:r w:rsidR="00F94AD2">
        <w:t>im</w:t>
      </w:r>
      <w:r w:rsidRPr="0071699E">
        <w:t>permanence</w:t>
      </w:r>
      <w:r w:rsidR="00F94AD2">
        <w:t>, and other</w:t>
      </w:r>
      <w:r w:rsidR="001E3F30">
        <w:t>s</w:t>
      </w:r>
      <w:r w:rsidR="00F94AD2">
        <w:t xml:space="preserve"> suspect that </w:t>
      </w:r>
      <w:r w:rsidR="00F94AD2" w:rsidRPr="001E3F30">
        <w:t xml:space="preserve">plaques are </w:t>
      </w:r>
      <w:r w:rsidR="001E3F30" w:rsidRPr="001E3F30">
        <w:t xml:space="preserve">often accepted as </w:t>
      </w:r>
      <w:r w:rsidR="00F94AD2" w:rsidRPr="001E3F30">
        <w:t xml:space="preserve">a cheap and inadequate substitute for public art </w:t>
      </w:r>
      <w:r w:rsidR="001E3F30" w:rsidRPr="001E3F30">
        <w:t>and/o</w:t>
      </w:r>
      <w:r w:rsidR="00F94AD2" w:rsidRPr="001E3F30">
        <w:t xml:space="preserve">r </w:t>
      </w:r>
      <w:r w:rsidR="001E3F30" w:rsidRPr="001E3F30">
        <w:t xml:space="preserve">conservation </w:t>
      </w:r>
      <w:r w:rsidR="001E3F30" w:rsidRPr="001E3F30">
        <w:lastRenderedPageBreak/>
        <w:t xml:space="preserve">works.  </w:t>
      </w:r>
      <w:r w:rsidR="00DE7248">
        <w:t>Support was</w:t>
      </w:r>
      <w:r w:rsidR="001E3F30">
        <w:t>, however, e</w:t>
      </w:r>
      <w:r w:rsidR="00DE7248">
        <w:t xml:space="preserve">xpressed for the co-creation of interpretation programs involving community groups and professionals. </w:t>
      </w:r>
    </w:p>
    <w:p w14:paraId="0FF0F053" w14:textId="4C043965" w:rsidR="001E3F30" w:rsidRDefault="0071699E" w:rsidP="00A813FF">
      <w:r w:rsidRPr="0071699E">
        <w:t xml:space="preserve">A consistent theme was the importance of finding new ways to engage with the community.  In this regard, it was </w:t>
      </w:r>
      <w:r w:rsidRPr="00E81F0E">
        <w:t>suggested that Council might e</w:t>
      </w:r>
      <w:r w:rsidR="00A813FF" w:rsidRPr="00E81F0E">
        <w:t xml:space="preserve">xplore models of </w:t>
      </w:r>
      <w:r w:rsidR="005E647F" w:rsidRPr="00E81F0E">
        <w:t xml:space="preserve">engagement that go </w:t>
      </w:r>
      <w:r w:rsidRPr="00E81F0E">
        <w:t xml:space="preserve">further than current </w:t>
      </w:r>
      <w:r w:rsidR="005E647F" w:rsidRPr="00E81F0E">
        <w:t xml:space="preserve">consultation </w:t>
      </w:r>
      <w:r w:rsidRPr="00E81F0E">
        <w:t>models</w:t>
      </w:r>
      <w:r w:rsidR="001E3F30" w:rsidRPr="00E81F0E">
        <w:t xml:space="preserve">.  </w:t>
      </w:r>
      <w:r w:rsidR="00E81F0E" w:rsidRPr="00E81F0E">
        <w:t>In this regard, h</w:t>
      </w:r>
      <w:r w:rsidR="001E3F30" w:rsidRPr="00E81F0E">
        <w:t>arnessing the potential of technology</w:t>
      </w:r>
      <w:r w:rsidR="00E81F0E" w:rsidRPr="00E81F0E">
        <w:t xml:space="preserve"> has been suggested as a means of improving the effectiveness of engagement and aligning with the dynamic nature social value and community sentiment.  S</w:t>
      </w:r>
      <w:r w:rsidR="001E3F30" w:rsidRPr="00E81F0E">
        <w:t>ee also the Recommendations at</w:t>
      </w:r>
      <w:r w:rsidR="00303971">
        <w:t xml:space="preserve"> 7.1.4</w:t>
      </w:r>
      <w:r w:rsidR="001E3F30" w:rsidRPr="00E81F0E">
        <w:t xml:space="preserve">).  </w:t>
      </w:r>
    </w:p>
    <w:p w14:paraId="76F8B8C0" w14:textId="3C1FCCE4" w:rsidR="005E647F" w:rsidRPr="0071699E" w:rsidRDefault="0071699E" w:rsidP="00A813FF">
      <w:r w:rsidRPr="0071699E">
        <w:t xml:space="preserve">Engagement should also be on-going, not just </w:t>
      </w:r>
      <w:r w:rsidR="00A813FF" w:rsidRPr="0071699E">
        <w:t xml:space="preserve">at a time of crisis.  </w:t>
      </w:r>
      <w:r w:rsidRPr="0071699E">
        <w:t xml:space="preserve">Experience indicates that </w:t>
      </w:r>
      <w:r>
        <w:t xml:space="preserve">social value that exists independent of ‘threat’ is quite different to the emotionally-charged sentiment, and heightened sense of community, that is generated when a place valued by a community is proposed for change.  </w:t>
      </w:r>
    </w:p>
    <w:p w14:paraId="74D5DEAA" w14:textId="309038BA" w:rsidR="00A813FF" w:rsidRPr="00A813FF" w:rsidRDefault="00DE7248" w:rsidP="00A813FF">
      <w:r w:rsidRPr="00DE7248">
        <w:t xml:space="preserve">Other options </w:t>
      </w:r>
      <w:r>
        <w:t xml:space="preserve">that might be considered by </w:t>
      </w:r>
      <w:r w:rsidRPr="009C4F2B">
        <w:t xml:space="preserve">Council to </w:t>
      </w:r>
      <w:r>
        <w:t xml:space="preserve">support the </w:t>
      </w:r>
      <w:r w:rsidRPr="009C4F2B">
        <w:t>protect</w:t>
      </w:r>
      <w:r>
        <w:t xml:space="preserve">ion </w:t>
      </w:r>
      <w:r w:rsidRPr="009C4F2B">
        <w:t>and celebrat</w:t>
      </w:r>
      <w:r>
        <w:t>ion</w:t>
      </w:r>
      <w:r w:rsidRPr="009C4F2B">
        <w:t xml:space="preserve"> </w:t>
      </w:r>
      <w:r w:rsidR="001E3F30">
        <w:t xml:space="preserve">of </w:t>
      </w:r>
      <w:r w:rsidRPr="009C4F2B">
        <w:t>heritage</w:t>
      </w:r>
      <w:r>
        <w:t xml:space="preserve"> include: funding artworks; investing more heavily in Open House days; contemplating themed open House-type events, perhaps related to St Kilda rich and varied musical heritage; walking tours; </w:t>
      </w:r>
      <w:r w:rsidR="006306A1">
        <w:t xml:space="preserve">and </w:t>
      </w:r>
      <w:r>
        <w:t>advising community groups when buildings</w:t>
      </w:r>
      <w:r w:rsidR="00B868C1">
        <w:t xml:space="preserve">/trees are to be removed, </w:t>
      </w:r>
      <w:r w:rsidR="006306A1">
        <w:t xml:space="preserve">providing </w:t>
      </w:r>
      <w:r w:rsidR="00B868C1">
        <w:t xml:space="preserve">an opportunity to </w:t>
      </w:r>
      <w:r w:rsidR="006306A1">
        <w:t xml:space="preserve">acknowledge or </w:t>
      </w:r>
      <w:r w:rsidR="00B868C1">
        <w:t xml:space="preserve">mourn the loss. </w:t>
      </w:r>
      <w:r w:rsidR="002A0B6C">
        <w:t xml:space="preserve"> </w:t>
      </w:r>
    </w:p>
    <w:p w14:paraId="22A69BDC" w14:textId="48D1C872" w:rsidR="00BC3776" w:rsidRDefault="00BC3776" w:rsidP="00BC3776">
      <w:pPr>
        <w:pStyle w:val="Heading4"/>
        <w:rPr>
          <w:i/>
        </w:rPr>
      </w:pPr>
      <w:r w:rsidRPr="001826F6">
        <w:rPr>
          <w:i/>
        </w:rPr>
        <w:t>Recommendations</w:t>
      </w:r>
    </w:p>
    <w:p w14:paraId="2A2ABD2B" w14:textId="7B9C79BF" w:rsidR="006E6387" w:rsidRDefault="006E6387" w:rsidP="006E6387">
      <w:r>
        <w:t>Key outcomes of Stage 1, as stated in the Project Brief, are to describe how places of potential social value will be identified, and how the findings of this initial consultation will be used to inform future stages of the Heritage Program.  Responses to these questions are summarised below</w:t>
      </w:r>
      <w:r w:rsidR="00FC4C1C">
        <w:t xml:space="preserve"> </w:t>
      </w:r>
      <w:r>
        <w:t xml:space="preserve">and expanded upon at Section </w:t>
      </w:r>
      <w:r>
        <w:fldChar w:fldCharType="begin"/>
      </w:r>
      <w:r>
        <w:instrText xml:space="preserve"> REF _Ref519777349 \r \h </w:instrText>
      </w:r>
      <w:r>
        <w:fldChar w:fldCharType="separate"/>
      </w:r>
      <w:r w:rsidR="003E105F">
        <w:t>7.0</w:t>
      </w:r>
      <w:r>
        <w:fldChar w:fldCharType="end"/>
      </w:r>
      <w:r>
        <w:t xml:space="preserve">.  </w:t>
      </w:r>
    </w:p>
    <w:p w14:paraId="44A7E7DF" w14:textId="480D4778" w:rsidR="006E6387" w:rsidRDefault="006E6387" w:rsidP="006E6387">
      <w:r>
        <w:t xml:space="preserve">Based on the outcomes of Stage 1, a key gap is a mutual appreciation of how the community (individuals and groups) perceive heritage, and how heritage is perceived and managed by Council on the community’s behalf.  </w:t>
      </w:r>
      <w:r w:rsidRPr="00591C57">
        <w:t xml:space="preserve">For </w:t>
      </w:r>
      <w:r>
        <w:t xml:space="preserve">community groups, </w:t>
      </w:r>
      <w:r w:rsidRPr="00591C57">
        <w:t>sentiment for ‘heritage’ may be emotive and relate to concepts of identity and lived experience.  For specialists, judgements about heritage are clinic</w:t>
      </w:r>
      <w:r>
        <w:t>al, technical and able to withstand legal scrutiny</w:t>
      </w:r>
      <w:r w:rsidR="00C6246E">
        <w:t>.  T</w:t>
      </w:r>
      <w:r>
        <w:t>he reco</w:t>
      </w:r>
      <w:r w:rsidR="00C6246E">
        <w:t xml:space="preserve">mmendations summarised below seek </w:t>
      </w:r>
      <w:r>
        <w:t xml:space="preserve">to accommodate both viewpoints.  </w:t>
      </w:r>
    </w:p>
    <w:p w14:paraId="78773A43" w14:textId="220CD87D" w:rsidR="006E6387" w:rsidRDefault="006E6387" w:rsidP="006E6387">
      <w:r>
        <w:t>Heritage is now understood as a much broader proposition than was the case in the 1980s/90s.  Increasingly, heritage is recognised as a process that is informed by a range of social, political and economic factors.  The push for a more community-centred approach to heritage is at the heart of this shift to a more holistic world-view.  As has been revealed by Stag</w:t>
      </w:r>
      <w:r w:rsidR="00C6246E">
        <w:t xml:space="preserve">e 1 of the Heritage Program, when </w:t>
      </w:r>
      <w:r>
        <w:t xml:space="preserve">members of the community are asked what’s important to them, the answers </w:t>
      </w:r>
      <w:r w:rsidR="00C6246E">
        <w:t>are</w:t>
      </w:r>
      <w:r>
        <w:t xml:space="preserve"> necessarily diverse, informed by personal/group perspective and experience.  The </w:t>
      </w:r>
      <w:r w:rsidR="00C6246E">
        <w:t>responses also</w:t>
      </w:r>
      <w:r>
        <w:t xml:space="preserve"> include consideration of neighbourhood character and amenity, issues that go well beyond conventional heritage boundaries.  </w:t>
      </w:r>
    </w:p>
    <w:p w14:paraId="33038C51" w14:textId="30209FF4" w:rsidR="006E6387" w:rsidRPr="006E6387" w:rsidRDefault="006E6387" w:rsidP="006E6387">
      <w:r>
        <w:t>Another shift in the heritage landscape, as demonstrated in Port Phillip, is a recalibration of roles and responsibilities in the assessment and</w:t>
      </w:r>
      <w:r w:rsidR="00C6246E">
        <w:t xml:space="preserve"> management of heritage.  In an evolving </w:t>
      </w:r>
      <w:r>
        <w:t xml:space="preserve">environment where community groups want a voice and expect to be heard, </w:t>
      </w:r>
      <w:r w:rsidR="00FC4C1C">
        <w:t>there will be a requirement for</w:t>
      </w:r>
      <w:r>
        <w:t xml:space="preserve"> capacity building and an openness to working </w:t>
      </w:r>
      <w:r w:rsidR="00C6246E">
        <w:t>collaboratively</w:t>
      </w:r>
      <w:r>
        <w:t xml:space="preserve">.  </w:t>
      </w:r>
    </w:p>
    <w:p w14:paraId="188BE211" w14:textId="7D4F01BD" w:rsidR="00E81F0E" w:rsidRPr="00E81F0E" w:rsidRDefault="00FC4C1C" w:rsidP="00FC0D16">
      <w:r>
        <w:t xml:space="preserve">The </w:t>
      </w:r>
      <w:r w:rsidR="00D74CB0">
        <w:t xml:space="preserve">18 </w:t>
      </w:r>
      <w:r>
        <w:t>r</w:t>
      </w:r>
      <w:r w:rsidR="00E81F0E" w:rsidRPr="00E81F0E">
        <w:t xml:space="preserve">ecommendations </w:t>
      </w:r>
      <w:r w:rsidR="00D74CB0">
        <w:t xml:space="preserve">at Section </w:t>
      </w:r>
      <w:r w:rsidR="00D74CB0">
        <w:fldChar w:fldCharType="begin"/>
      </w:r>
      <w:r w:rsidR="00D74CB0">
        <w:instrText xml:space="preserve"> REF _Ref519777349 \r \h </w:instrText>
      </w:r>
      <w:r w:rsidR="00D74CB0">
        <w:fldChar w:fldCharType="separate"/>
      </w:r>
      <w:r w:rsidR="003E105F">
        <w:t>7.0</w:t>
      </w:r>
      <w:r w:rsidR="00D74CB0">
        <w:fldChar w:fldCharType="end"/>
      </w:r>
      <w:r w:rsidR="00D74CB0">
        <w:t xml:space="preserve"> </w:t>
      </w:r>
      <w:r w:rsidR="00E81F0E" w:rsidRPr="00E81F0E">
        <w:t xml:space="preserve">are grouped in </w:t>
      </w:r>
      <w:r w:rsidR="009B2DFD">
        <w:t>six</w:t>
      </w:r>
      <w:r w:rsidR="00E81F0E" w:rsidRPr="00E81F0E">
        <w:t xml:space="preserve"> categories:</w:t>
      </w:r>
    </w:p>
    <w:p w14:paraId="3A9E6023" w14:textId="04DD77E3" w:rsidR="00E81F0E" w:rsidRDefault="00E81F0E" w:rsidP="00E81F0E">
      <w:pPr>
        <w:pStyle w:val="list1"/>
        <w:numPr>
          <w:ilvl w:val="0"/>
          <w:numId w:val="4"/>
        </w:numPr>
        <w:tabs>
          <w:tab w:val="left" w:pos="720"/>
        </w:tabs>
      </w:pPr>
      <w:r w:rsidRPr="00E81F0E">
        <w:t>Review of the PPHR</w:t>
      </w:r>
    </w:p>
    <w:p w14:paraId="3F4CE41B" w14:textId="031656CD" w:rsidR="00E81F0E" w:rsidRDefault="00E81F0E" w:rsidP="00E81F0E">
      <w:pPr>
        <w:pStyle w:val="list1"/>
        <w:numPr>
          <w:ilvl w:val="0"/>
          <w:numId w:val="4"/>
        </w:numPr>
        <w:tabs>
          <w:tab w:val="left" w:pos="720"/>
        </w:tabs>
      </w:pPr>
      <w:r>
        <w:t>Assessing and managing social value</w:t>
      </w:r>
    </w:p>
    <w:p w14:paraId="0B0CA0E3" w14:textId="497BF272" w:rsidR="00E81F0E" w:rsidRDefault="00E81F0E" w:rsidP="00E81F0E">
      <w:pPr>
        <w:pStyle w:val="list1"/>
        <w:numPr>
          <w:ilvl w:val="0"/>
          <w:numId w:val="4"/>
        </w:numPr>
        <w:tabs>
          <w:tab w:val="left" w:pos="720"/>
        </w:tabs>
      </w:pPr>
      <w:r>
        <w:t>Capacity building and community influence</w:t>
      </w:r>
    </w:p>
    <w:p w14:paraId="3310EC49" w14:textId="09A327D3" w:rsidR="00E81F0E" w:rsidRDefault="00E81F0E" w:rsidP="00E81F0E">
      <w:pPr>
        <w:pStyle w:val="list1"/>
        <w:numPr>
          <w:ilvl w:val="0"/>
          <w:numId w:val="4"/>
        </w:numPr>
        <w:tabs>
          <w:tab w:val="left" w:pos="720"/>
        </w:tabs>
      </w:pPr>
      <w:r>
        <w:t>Participatory planning (or alternative methods of engagement)</w:t>
      </w:r>
    </w:p>
    <w:p w14:paraId="533B8EE3" w14:textId="7A058216" w:rsidR="009B2DFD" w:rsidRDefault="009B2DFD" w:rsidP="00E81F0E">
      <w:pPr>
        <w:pStyle w:val="list1"/>
        <w:numPr>
          <w:ilvl w:val="0"/>
          <w:numId w:val="4"/>
        </w:numPr>
        <w:tabs>
          <w:tab w:val="left" w:pos="720"/>
        </w:tabs>
      </w:pPr>
      <w:r>
        <w:t>Programs and incentives</w:t>
      </w:r>
    </w:p>
    <w:p w14:paraId="018666AB" w14:textId="3E76F983" w:rsidR="00E81F0E" w:rsidRPr="00E81F0E" w:rsidRDefault="00E81F0E" w:rsidP="00E81F0E">
      <w:pPr>
        <w:pStyle w:val="list1"/>
        <w:numPr>
          <w:ilvl w:val="0"/>
          <w:numId w:val="4"/>
        </w:numPr>
        <w:tabs>
          <w:tab w:val="left" w:pos="720"/>
        </w:tabs>
      </w:pPr>
      <w:r>
        <w:t xml:space="preserve">Historic </w:t>
      </w:r>
      <w:r w:rsidR="00BE13C1">
        <w:t>Urban Landscape Plan</w:t>
      </w:r>
    </w:p>
    <w:p w14:paraId="249C8B4B" w14:textId="3F3FAF1F" w:rsidR="007525E1" w:rsidRDefault="00E81F0E" w:rsidP="007525E1">
      <w:r w:rsidRPr="004857B8">
        <w:lastRenderedPageBreak/>
        <w:t>The first f</w:t>
      </w:r>
      <w:r w:rsidR="009B2DFD">
        <w:t>ive</w:t>
      </w:r>
      <w:r w:rsidRPr="004857B8">
        <w:t xml:space="preserve"> categories</w:t>
      </w:r>
      <w:r w:rsidR="009F7150" w:rsidRPr="004857B8">
        <w:t xml:space="preserve"> have been conceived to be implemented in future stages of the Heritage Program (2018-21).  </w:t>
      </w:r>
      <w:r w:rsidR="00C6246E">
        <w:t>The recommendation for the development of an H</w:t>
      </w:r>
      <w:r w:rsidR="009F7150" w:rsidRPr="004857B8">
        <w:t xml:space="preserve">istoric </w:t>
      </w:r>
      <w:r w:rsidR="00BE13C1">
        <w:t xml:space="preserve">Urban </w:t>
      </w:r>
      <w:r w:rsidR="009F7150" w:rsidRPr="004857B8">
        <w:t>L</w:t>
      </w:r>
      <w:r w:rsidR="00BE13C1">
        <w:t>andscape Plan</w:t>
      </w:r>
      <w:r w:rsidR="00BA46CB">
        <w:t xml:space="preserve"> </w:t>
      </w:r>
      <w:r w:rsidR="004857B8" w:rsidRPr="004857B8">
        <w:t xml:space="preserve">is a longer-term proposition.  </w:t>
      </w:r>
    </w:p>
    <w:p w14:paraId="6BEC1A08" w14:textId="77777777" w:rsidR="007525E1" w:rsidRPr="007525E1" w:rsidRDefault="00FC0D16" w:rsidP="007525E1">
      <w:pPr>
        <w:rPr>
          <w:i/>
        </w:rPr>
      </w:pPr>
      <w:r w:rsidRPr="007525E1">
        <w:rPr>
          <w:i/>
        </w:rPr>
        <w:t xml:space="preserve">Review of the PPHR </w:t>
      </w:r>
    </w:p>
    <w:p w14:paraId="61D52AAF" w14:textId="11D69AF6" w:rsidR="007525E1" w:rsidRPr="007525E1" w:rsidRDefault="007525E1" w:rsidP="007525E1">
      <w:r w:rsidRPr="007525E1">
        <w:t xml:space="preserve">The PPHR should be updated and reviewed to reflect outcomes of the Stage 1 community consultation. </w:t>
      </w:r>
      <w:r>
        <w:t xml:space="preserve"> Deliverables should include</w:t>
      </w:r>
      <w:r w:rsidR="009B2DFD">
        <w:t xml:space="preserve"> the following (see also Section </w:t>
      </w:r>
      <w:r w:rsidR="009B2DFD">
        <w:fldChar w:fldCharType="begin"/>
      </w:r>
      <w:r w:rsidR="009B2DFD">
        <w:instrText xml:space="preserve"> REF _Ref520378448 \r \h </w:instrText>
      </w:r>
      <w:r w:rsidR="009B2DFD">
        <w:fldChar w:fldCharType="separate"/>
      </w:r>
      <w:r w:rsidR="003E105F">
        <w:t>7.1.1</w:t>
      </w:r>
      <w:r w:rsidR="009B2DFD">
        <w:fldChar w:fldCharType="end"/>
      </w:r>
      <w:r w:rsidR="009B2DFD">
        <w:t>):</w:t>
      </w:r>
    </w:p>
    <w:p w14:paraId="1CE09F97" w14:textId="484ACE41" w:rsidR="007525E1" w:rsidRPr="007525E1" w:rsidRDefault="007525E1" w:rsidP="007525E1">
      <w:pPr>
        <w:pStyle w:val="list1"/>
        <w:numPr>
          <w:ilvl w:val="0"/>
          <w:numId w:val="4"/>
        </w:numPr>
        <w:tabs>
          <w:tab w:val="left" w:pos="720"/>
        </w:tabs>
      </w:pPr>
      <w:r>
        <w:t xml:space="preserve">A review and update of the </w:t>
      </w:r>
      <w:r w:rsidRPr="007525E1">
        <w:rPr>
          <w:i/>
        </w:rPr>
        <w:t>Port Phillip Thematic Environmental History</w:t>
      </w:r>
    </w:p>
    <w:p w14:paraId="78D76F2C" w14:textId="781883DE" w:rsidR="007525E1" w:rsidRDefault="00C767D8" w:rsidP="007525E1">
      <w:pPr>
        <w:pStyle w:val="list1"/>
        <w:numPr>
          <w:ilvl w:val="0"/>
          <w:numId w:val="4"/>
        </w:numPr>
        <w:tabs>
          <w:tab w:val="left" w:pos="720"/>
        </w:tabs>
      </w:pPr>
      <w:r w:rsidRPr="007525E1">
        <w:t>Review</w:t>
      </w:r>
      <w:r>
        <w:t xml:space="preserve">ing </w:t>
      </w:r>
      <w:r w:rsidRPr="007525E1">
        <w:t>citations for ‘Significant’ places identified during Stage 1</w:t>
      </w:r>
    </w:p>
    <w:p w14:paraId="1E796D00" w14:textId="210171D1" w:rsidR="00C767D8" w:rsidRPr="007525E1" w:rsidRDefault="00C767D8" w:rsidP="00C767D8">
      <w:pPr>
        <w:pStyle w:val="list1"/>
        <w:numPr>
          <w:ilvl w:val="0"/>
          <w:numId w:val="4"/>
        </w:numPr>
        <w:tabs>
          <w:tab w:val="left" w:pos="720"/>
        </w:tabs>
      </w:pPr>
      <w:r>
        <w:t xml:space="preserve">The development and implementation of </w:t>
      </w:r>
      <w:r w:rsidRPr="007525E1">
        <w:t>mechanisms for reviewing assessments of social value, recognising the dynamic nature of the value</w:t>
      </w:r>
    </w:p>
    <w:p w14:paraId="5F87E1D8" w14:textId="38A41FD5" w:rsidR="00C767D8" w:rsidRDefault="00C767D8" w:rsidP="007525E1">
      <w:pPr>
        <w:pStyle w:val="list1"/>
        <w:numPr>
          <w:ilvl w:val="0"/>
          <w:numId w:val="4"/>
        </w:numPr>
        <w:tabs>
          <w:tab w:val="left" w:pos="720"/>
        </w:tabs>
      </w:pPr>
      <w:r w:rsidRPr="007525E1">
        <w:t>Review</w:t>
      </w:r>
      <w:r>
        <w:t xml:space="preserve">ing </w:t>
      </w:r>
      <w:r w:rsidRPr="007525E1">
        <w:t>citations for HO precincts</w:t>
      </w:r>
      <w:r>
        <w:t>, including n</w:t>
      </w:r>
      <w:r w:rsidRPr="007525E1">
        <w:t>on-contributory buildings within HO precincts identified by the community during Stage 1</w:t>
      </w:r>
    </w:p>
    <w:p w14:paraId="4EBBFDCC" w14:textId="06A4C384" w:rsidR="00C767D8" w:rsidRPr="007525E1" w:rsidRDefault="00C767D8" w:rsidP="00C767D8">
      <w:pPr>
        <w:pStyle w:val="list1"/>
        <w:numPr>
          <w:ilvl w:val="0"/>
          <w:numId w:val="4"/>
        </w:numPr>
      </w:pPr>
      <w:r w:rsidRPr="007525E1">
        <w:t>Scop</w:t>
      </w:r>
      <w:r>
        <w:t xml:space="preserve">ing </w:t>
      </w:r>
      <w:r w:rsidRPr="007525E1">
        <w:t>studies for building/place typologies identified in Stage 1 as being of significance to the community</w:t>
      </w:r>
    </w:p>
    <w:p w14:paraId="5D6E8293" w14:textId="495A00E1" w:rsidR="007525E1" w:rsidRPr="007525E1" w:rsidRDefault="007525E1" w:rsidP="007525E1">
      <w:pPr>
        <w:rPr>
          <w:i/>
        </w:rPr>
      </w:pPr>
      <w:r w:rsidRPr="007525E1">
        <w:rPr>
          <w:i/>
        </w:rPr>
        <w:t>Assessing and managing social value</w:t>
      </w:r>
    </w:p>
    <w:p w14:paraId="4427271B" w14:textId="3515C3AE" w:rsidR="00C767D8" w:rsidRPr="00C767D8" w:rsidRDefault="00C767D8" w:rsidP="00C767D8">
      <w:r>
        <w:t>There exist a number of opportunities to assess and manage social values using existing protocols and procedure</w:t>
      </w:r>
      <w:r w:rsidR="009B2DFD">
        <w:t xml:space="preserve">s including but not limited to the following (see also Section </w:t>
      </w:r>
      <w:r w:rsidR="00303971">
        <w:t>7.1.2</w:t>
      </w:r>
      <w:r w:rsidR="009B2DFD">
        <w:t xml:space="preserve">): </w:t>
      </w:r>
    </w:p>
    <w:p w14:paraId="2D13FE97" w14:textId="2EC0CB30" w:rsidR="00C767D8" w:rsidRPr="004776FD" w:rsidRDefault="00C767D8" w:rsidP="00FB117D">
      <w:pPr>
        <w:pStyle w:val="list1"/>
        <w:numPr>
          <w:ilvl w:val="0"/>
          <w:numId w:val="4"/>
        </w:numPr>
        <w:tabs>
          <w:tab w:val="left" w:pos="720"/>
        </w:tabs>
      </w:pPr>
      <w:r w:rsidRPr="00C73D1F">
        <w:t xml:space="preserve">Council </w:t>
      </w:r>
      <w:r>
        <w:t>s</w:t>
      </w:r>
      <w:r w:rsidRPr="00C73D1F">
        <w:t xml:space="preserve">hould </w:t>
      </w:r>
      <w:r w:rsidR="00FB117D">
        <w:t>make</w:t>
      </w:r>
      <w:r w:rsidRPr="00C73D1F">
        <w:t xml:space="preserve"> wider use of Social Impact Assessments</w:t>
      </w:r>
      <w:r w:rsidR="00FB117D">
        <w:t xml:space="preserve"> (SIA)</w:t>
      </w:r>
      <w:r w:rsidRPr="00C73D1F">
        <w:t xml:space="preserve"> </w:t>
      </w:r>
      <w:r w:rsidRPr="00A36F82">
        <w:t>for permit applications where change is proposed to places which have previously been assessed as</w:t>
      </w:r>
      <w:r w:rsidRPr="00C73D1F">
        <w:t xml:space="preserve"> places of social value, or where social value</w:t>
      </w:r>
      <w:r w:rsidRPr="004776FD">
        <w:t xml:space="preserve"> </w:t>
      </w:r>
      <w:r w:rsidR="00FB117D">
        <w:t xml:space="preserve">can reasonably be anticipated to be present </w:t>
      </w:r>
    </w:p>
    <w:p w14:paraId="731AC124" w14:textId="56748DD1" w:rsidR="00C767D8" w:rsidRPr="004776FD" w:rsidRDefault="00C767D8" w:rsidP="00FB117D">
      <w:pPr>
        <w:pStyle w:val="list1"/>
        <w:numPr>
          <w:ilvl w:val="0"/>
          <w:numId w:val="4"/>
        </w:numPr>
        <w:tabs>
          <w:tab w:val="left" w:pos="720"/>
        </w:tabs>
      </w:pPr>
      <w:r w:rsidRPr="004776FD">
        <w:t>Council should develop guidelines for the preparation of SIAs</w:t>
      </w:r>
      <w:r w:rsidR="00FB117D">
        <w:t xml:space="preserve">, stipulating </w:t>
      </w:r>
      <w:r>
        <w:t xml:space="preserve">a </w:t>
      </w:r>
      <w:r w:rsidRPr="004776FD">
        <w:t xml:space="preserve">requirement for applicants to consult with the community as part of the process </w:t>
      </w:r>
    </w:p>
    <w:p w14:paraId="5C7C77A1" w14:textId="6F712CD9" w:rsidR="007525E1" w:rsidRDefault="00FB117D" w:rsidP="007525E1">
      <w:pPr>
        <w:pStyle w:val="list1"/>
        <w:numPr>
          <w:ilvl w:val="0"/>
          <w:numId w:val="4"/>
        </w:numPr>
        <w:tabs>
          <w:tab w:val="left" w:pos="720"/>
        </w:tabs>
      </w:pPr>
      <w:r>
        <w:t xml:space="preserve">The guidelines should state that </w:t>
      </w:r>
      <w:r w:rsidR="00C767D8">
        <w:t>concepts for recognising social values should be set out in a Heritage Interpretation Plan (HIP</w:t>
      </w:r>
      <w:r>
        <w:t xml:space="preserve">) at the point of lodgement, and that HIPs </w:t>
      </w:r>
      <w:r w:rsidRPr="00614B87">
        <w:t>should be co-created by professionals and community groups</w:t>
      </w:r>
    </w:p>
    <w:p w14:paraId="739420DC" w14:textId="70573440" w:rsidR="007525E1" w:rsidRPr="007525E1" w:rsidRDefault="007525E1" w:rsidP="007525E1">
      <w:pPr>
        <w:rPr>
          <w:i/>
        </w:rPr>
      </w:pPr>
      <w:r w:rsidRPr="007525E1">
        <w:rPr>
          <w:i/>
        </w:rPr>
        <w:t>Capacity building and community influence</w:t>
      </w:r>
    </w:p>
    <w:p w14:paraId="18AB7912" w14:textId="2682F16F" w:rsidR="009B2DFD" w:rsidRDefault="009B2DFD" w:rsidP="009B2DFD">
      <w:r>
        <w:t>The community has expressed an interest in</w:t>
      </w:r>
      <w:r w:rsidRPr="00DC2074">
        <w:t xml:space="preserve"> participat</w:t>
      </w:r>
      <w:r>
        <w:t xml:space="preserve">ing more fully in heritage activities and to exert greater </w:t>
      </w:r>
      <w:r w:rsidRPr="00DC2074">
        <w:t xml:space="preserve">influence </w:t>
      </w:r>
      <w:r>
        <w:t xml:space="preserve">over heritage outcomes.  Recommendations to assist in the delivery of this include: </w:t>
      </w:r>
    </w:p>
    <w:p w14:paraId="0D4131B6" w14:textId="6B3F2C33" w:rsidR="009B2DFD" w:rsidRDefault="009B2DFD" w:rsidP="009B2DFD">
      <w:pPr>
        <w:pStyle w:val="list1"/>
        <w:numPr>
          <w:ilvl w:val="0"/>
          <w:numId w:val="4"/>
        </w:numPr>
        <w:tabs>
          <w:tab w:val="left" w:pos="720"/>
        </w:tabs>
      </w:pPr>
      <w:r>
        <w:t>C</w:t>
      </w:r>
      <w:r w:rsidRPr="00CE1DB7">
        <w:t xml:space="preserve">ouncil should promote an understanding of the purpose and limitations of the </w:t>
      </w:r>
      <w:r>
        <w:t>p</w:t>
      </w:r>
      <w:r w:rsidRPr="00CE1DB7">
        <w:t xml:space="preserve">lanning </w:t>
      </w:r>
      <w:r>
        <w:t>s</w:t>
      </w:r>
      <w:r w:rsidRPr="00CE1DB7">
        <w:t>ystem as related to heritage considerations</w:t>
      </w:r>
      <w:r>
        <w:t xml:space="preserve"> (see Section </w:t>
      </w:r>
      <w:r>
        <w:fldChar w:fldCharType="begin"/>
      </w:r>
      <w:r>
        <w:instrText xml:space="preserve"> REF _Ref522617733 \r \h  \* MERGEFORMAT </w:instrText>
      </w:r>
      <w:r>
        <w:fldChar w:fldCharType="separate"/>
      </w:r>
      <w:r w:rsidR="003E105F">
        <w:t>4.2</w:t>
      </w:r>
      <w:r>
        <w:fldChar w:fldCharType="end"/>
      </w:r>
      <w:r>
        <w:t xml:space="preserve">). </w:t>
      </w:r>
      <w:r w:rsidRPr="00CE1DB7">
        <w:t xml:space="preserve"> </w:t>
      </w:r>
    </w:p>
    <w:p w14:paraId="69F9E1EA" w14:textId="7080F9AF" w:rsidR="00C30D7E" w:rsidRDefault="00C30D7E" w:rsidP="007525E1">
      <w:pPr>
        <w:pStyle w:val="list1"/>
        <w:numPr>
          <w:ilvl w:val="0"/>
          <w:numId w:val="4"/>
        </w:numPr>
        <w:tabs>
          <w:tab w:val="left" w:pos="720"/>
        </w:tabs>
      </w:pPr>
      <w:r>
        <w:t xml:space="preserve">Council </w:t>
      </w:r>
      <w:r w:rsidR="009B2DFD">
        <w:t xml:space="preserve">should </w:t>
      </w:r>
      <w:r>
        <w:t xml:space="preserve">also </w:t>
      </w:r>
      <w:r w:rsidR="009B2DFD">
        <w:t>promote an understanding that there are approaches to acknowledging social values that do not rely on formal recognition under the Planning System, including interpretation and rec</w:t>
      </w:r>
      <w:r>
        <w:t xml:space="preserve">ording </w:t>
      </w:r>
    </w:p>
    <w:p w14:paraId="2850336C" w14:textId="2E064969" w:rsidR="007525E1" w:rsidRPr="007525E1" w:rsidRDefault="007525E1" w:rsidP="007525E1">
      <w:pPr>
        <w:rPr>
          <w:i/>
        </w:rPr>
      </w:pPr>
      <w:r w:rsidRPr="007525E1">
        <w:rPr>
          <w:i/>
        </w:rPr>
        <w:t>Participatory planning</w:t>
      </w:r>
    </w:p>
    <w:p w14:paraId="18B5CA86" w14:textId="39B9A35E" w:rsidR="00C30D7E" w:rsidRDefault="00C30D7E" w:rsidP="00C30D7E">
      <w:r>
        <w:t xml:space="preserve">The recommendations below respond to the community’s interest in participating in planning processes and recognise that matters of concern to community groups will extend beyond the boundaries of heritage practice.  </w:t>
      </w:r>
      <w:r w:rsidR="00271DC0">
        <w:t xml:space="preserve">For a more expansive suite of recommendations see </w:t>
      </w:r>
      <w:r w:rsidR="00C6246E">
        <w:t xml:space="preserve">Section </w:t>
      </w:r>
      <w:r w:rsidR="00303971">
        <w:t>7.1.4.</w:t>
      </w:r>
    </w:p>
    <w:p w14:paraId="79B1C0FE" w14:textId="039C0CF8" w:rsidR="00271DC0" w:rsidRDefault="00271DC0" w:rsidP="00271DC0">
      <w:pPr>
        <w:pStyle w:val="list1"/>
        <w:numPr>
          <w:ilvl w:val="0"/>
          <w:numId w:val="4"/>
        </w:numPr>
        <w:tabs>
          <w:tab w:val="left" w:pos="720"/>
        </w:tabs>
      </w:pPr>
      <w:r>
        <w:t>New/alternative methods of engagement with community groups should be explored, including processes with the potential to provide ‘real time’ social value data, recognising the dynamic nature of the value</w:t>
      </w:r>
    </w:p>
    <w:p w14:paraId="76DD81FA" w14:textId="175A708A" w:rsidR="00C30D7E" w:rsidRDefault="00C30D7E" w:rsidP="00271DC0">
      <w:pPr>
        <w:pStyle w:val="list1"/>
        <w:numPr>
          <w:ilvl w:val="0"/>
          <w:numId w:val="4"/>
        </w:numPr>
        <w:tabs>
          <w:tab w:val="left" w:pos="720"/>
        </w:tabs>
      </w:pPr>
      <w:r>
        <w:t>P</w:t>
      </w:r>
      <w:r w:rsidRPr="00AF739E">
        <w:t>articipatory planning</w:t>
      </w:r>
      <w:r>
        <w:t xml:space="preserve"> workshops (or similar) should also be arranged with communities with common interests, ethnicity, beliefs and values that may not be geographically-based</w:t>
      </w:r>
      <w:r w:rsidR="00271DC0">
        <w:t>, including Traditional Owner groups/communities</w:t>
      </w:r>
    </w:p>
    <w:p w14:paraId="095BF9D0" w14:textId="12D66B80" w:rsidR="009B2DFD" w:rsidRDefault="00C30D7E" w:rsidP="009B2DFD">
      <w:pPr>
        <w:pStyle w:val="list1"/>
        <w:numPr>
          <w:ilvl w:val="0"/>
          <w:numId w:val="4"/>
        </w:numPr>
        <w:tabs>
          <w:tab w:val="left" w:pos="720"/>
        </w:tabs>
      </w:pPr>
      <w:r>
        <w:lastRenderedPageBreak/>
        <w:t>P</w:t>
      </w:r>
      <w:r w:rsidRPr="00AF739E">
        <w:t>articipatory planning</w:t>
      </w:r>
      <w:r>
        <w:t xml:space="preserve"> workshops </w:t>
      </w:r>
      <w:r w:rsidR="00271DC0">
        <w:t xml:space="preserve">(or similar) </w:t>
      </w:r>
      <w:r>
        <w:t>should be conducted independent of proposals for change.  The objective is to generate a broad evidence base of values independent of perceived ‘threat’</w:t>
      </w:r>
    </w:p>
    <w:p w14:paraId="2CD33298" w14:textId="1DACCDB2" w:rsidR="009B2DFD" w:rsidRDefault="009B2DFD" w:rsidP="00BA46CB">
      <w:pPr>
        <w:pStyle w:val="Heading5"/>
      </w:pPr>
      <w:r>
        <w:t>Programs and incentives</w:t>
      </w:r>
    </w:p>
    <w:p w14:paraId="650F5FA3" w14:textId="0002A5F5" w:rsidR="00271DC0" w:rsidRDefault="00271DC0" w:rsidP="00BA46CB">
      <w:pPr>
        <w:pStyle w:val="list1"/>
        <w:numPr>
          <w:ilvl w:val="0"/>
          <w:numId w:val="4"/>
        </w:numPr>
        <w:tabs>
          <w:tab w:val="left" w:pos="720"/>
        </w:tabs>
      </w:pPr>
      <w:r w:rsidRPr="00B46DB0">
        <w:t xml:space="preserve">Council should review existing programs that support recognition of community-held values for </w:t>
      </w:r>
      <w:r>
        <w:t xml:space="preserve">places within the CoPP </w:t>
      </w:r>
      <w:r w:rsidRPr="00B46DB0">
        <w:t>– i</w:t>
      </w:r>
      <w:r>
        <w:t xml:space="preserve">ncluding </w:t>
      </w:r>
      <w:r w:rsidRPr="00B46DB0">
        <w:t>the CoPP Recognition Program and the Percent for Art Scheme</w:t>
      </w:r>
      <w:r>
        <w:t xml:space="preserve"> – and seek to align their objectives with outcomes of the Stage 1 consultation</w:t>
      </w:r>
    </w:p>
    <w:p w14:paraId="19D4CD47" w14:textId="648D9A04" w:rsidR="00271DC0" w:rsidRDefault="00271DC0" w:rsidP="00BA46CB">
      <w:pPr>
        <w:pStyle w:val="list1"/>
        <w:numPr>
          <w:ilvl w:val="0"/>
          <w:numId w:val="4"/>
        </w:numPr>
        <w:tabs>
          <w:tab w:val="left" w:pos="720"/>
        </w:tabs>
      </w:pPr>
      <w:r>
        <w:t>Council should identify other opportunities to respond to the community’s expectation of financial support and incentives for heritage programs, including additional funding for the maintenance of heritage buildings and settings</w:t>
      </w:r>
    </w:p>
    <w:p w14:paraId="6424F275" w14:textId="0065E12A" w:rsidR="00FD4D36" w:rsidRDefault="00FC4C1C" w:rsidP="00FC4C1C">
      <w:pPr>
        <w:pStyle w:val="Heading5"/>
      </w:pPr>
      <w:r w:rsidRPr="00FC4C1C">
        <w:t xml:space="preserve">Historic </w:t>
      </w:r>
      <w:r w:rsidR="00BE13C1">
        <w:t>Urban Landscape Plan</w:t>
      </w:r>
    </w:p>
    <w:p w14:paraId="72720C60" w14:textId="77777777" w:rsidR="00BA46CB" w:rsidRDefault="00FC4C1C" w:rsidP="00BA46CB">
      <w:r>
        <w:t xml:space="preserve">A significant outcome of consultation undertaken for Stage 1 was a recognition that the CoPP community has a landscape-scale view of ‘heritage’, which comprises the totality of the urban environment not just buildings or areas within it.  </w:t>
      </w:r>
      <w:r w:rsidR="00BA46CB">
        <w:t>In response to this:</w:t>
      </w:r>
    </w:p>
    <w:p w14:paraId="4BA23FAD" w14:textId="0B08814F" w:rsidR="00FC4C1C" w:rsidRPr="00FC4C1C" w:rsidRDefault="00FC4C1C" w:rsidP="00FC4C1C">
      <w:pPr>
        <w:pStyle w:val="list1"/>
        <w:numPr>
          <w:ilvl w:val="0"/>
          <w:numId w:val="4"/>
        </w:numPr>
        <w:tabs>
          <w:tab w:val="left" w:pos="720"/>
        </w:tabs>
      </w:pPr>
      <w:r>
        <w:t xml:space="preserve">Consideration should be given to </w:t>
      </w:r>
      <w:r w:rsidR="00BA46CB">
        <w:t>the development of</w:t>
      </w:r>
      <w:r w:rsidR="00C6246E">
        <w:t xml:space="preserve"> an </w:t>
      </w:r>
      <w:r w:rsidR="00BA46CB" w:rsidRPr="00FC4C1C">
        <w:t xml:space="preserve">Historic </w:t>
      </w:r>
      <w:r w:rsidR="00BE13C1">
        <w:t xml:space="preserve">Urban </w:t>
      </w:r>
      <w:r w:rsidR="00BA46CB" w:rsidRPr="00FC4C1C">
        <w:t xml:space="preserve">Landscape </w:t>
      </w:r>
      <w:r w:rsidR="00BE13C1">
        <w:t>Plan</w:t>
      </w:r>
      <w:r w:rsidR="00BA46CB">
        <w:t xml:space="preserve">, </w:t>
      </w:r>
      <w:r w:rsidR="00BA46CB" w:rsidRPr="004857B8">
        <w:t xml:space="preserve">an idea informed by UNESCO’s Historic Urban Landscape model (see Section </w:t>
      </w:r>
      <w:r w:rsidR="00BA46CB" w:rsidRPr="004857B8">
        <w:fldChar w:fldCharType="begin"/>
      </w:r>
      <w:r w:rsidR="00BA46CB" w:rsidRPr="004857B8">
        <w:instrText xml:space="preserve"> REF _Ref522620930 \r \h </w:instrText>
      </w:r>
      <w:r w:rsidR="00BA46CB">
        <w:instrText xml:space="preserve"> \* MERGEFORMAT </w:instrText>
      </w:r>
      <w:r w:rsidR="00BA46CB" w:rsidRPr="004857B8">
        <w:fldChar w:fldCharType="separate"/>
      </w:r>
      <w:r w:rsidR="003E105F">
        <w:t>3.2</w:t>
      </w:r>
      <w:r w:rsidR="00BA46CB" w:rsidRPr="004857B8">
        <w:fldChar w:fldCharType="end"/>
      </w:r>
      <w:r w:rsidR="00BA46CB" w:rsidRPr="004857B8">
        <w:t>), which would see a re-conceptualisation of the urban environment as a living entity that is shaped by a range of social, economic, environmental and cultural influences</w:t>
      </w:r>
      <w:r w:rsidR="00BA46CB">
        <w:t xml:space="preserve">.  </w:t>
      </w:r>
      <w:r>
        <w:t>The objective is to recognise the municipality’s heritage as a social, cultural and economic asset</w:t>
      </w:r>
      <w:r w:rsidR="00C6246E">
        <w:t xml:space="preserve">.  </w:t>
      </w:r>
      <w:r w:rsidR="00C6246E" w:rsidRPr="00411AAD">
        <w:t>An initial stage in this process would be the preparation of a whole-of-municipality plan that contextualises heritage within Port Phillip’s medium-term aspirations for social and economic growth.  The document would represent an action plan for Council, and would inform amendments to the PPHR, planni</w:t>
      </w:r>
      <w:r w:rsidR="00C6246E">
        <w:t xml:space="preserve">ng scheme policy and controls. </w:t>
      </w:r>
    </w:p>
    <w:p w14:paraId="50DA9A5C" w14:textId="77777777" w:rsidR="00FC4C1C" w:rsidRDefault="00FC4C1C" w:rsidP="00FD4D36">
      <w:pPr>
        <w:rPr>
          <w:b/>
        </w:rPr>
      </w:pPr>
      <w:r>
        <w:rPr>
          <w:b/>
        </w:rPr>
        <w:br w:type="page"/>
      </w:r>
    </w:p>
    <w:p w14:paraId="4259D70F" w14:textId="77777777" w:rsidR="005F2470" w:rsidRPr="00AC0C95" w:rsidRDefault="005F2470" w:rsidP="00AC0C95"/>
    <w:p w14:paraId="2B6187B8" w14:textId="5034FD07" w:rsidR="009623A2" w:rsidRPr="009623A2" w:rsidRDefault="009623A2" w:rsidP="009623A2">
      <w:pPr>
        <w:pStyle w:val="list1"/>
        <w:numPr>
          <w:ilvl w:val="0"/>
          <w:numId w:val="0"/>
        </w:numPr>
        <w:ind w:left="1004" w:hanging="360"/>
        <w:rPr>
          <w:lang w:val="en-AU"/>
        </w:rPr>
      </w:pPr>
    </w:p>
    <w:p w14:paraId="7FB9A144" w14:textId="77777777" w:rsidR="00B7794A" w:rsidRDefault="00B7794A" w:rsidP="00B7794A">
      <w:pPr>
        <w:sectPr w:rsidR="00B7794A" w:rsidSect="00B7794A">
          <w:footnotePr>
            <w:numRestart w:val="eachSect"/>
          </w:footnotePr>
          <w:endnotePr>
            <w:numFmt w:val="decimal"/>
            <w:numRestart w:val="eachSect"/>
          </w:endnotePr>
          <w:pgSz w:w="11907" w:h="16840" w:code="9"/>
          <w:pgMar w:top="1418" w:right="1701" w:bottom="1418" w:left="1701" w:header="567" w:footer="629" w:gutter="0"/>
          <w:pgNumType w:fmt="lowerRoman" w:start="1"/>
          <w:cols w:space="720"/>
          <w:docGrid w:linePitch="272"/>
        </w:sectPr>
      </w:pPr>
    </w:p>
    <w:p w14:paraId="0F6CBB79" w14:textId="439B2988" w:rsidR="00B7794A" w:rsidRDefault="00B7794A" w:rsidP="00387A20">
      <w:pPr>
        <w:pStyle w:val="Heading1"/>
        <w:numPr>
          <w:ilvl w:val="0"/>
          <w:numId w:val="9"/>
        </w:numPr>
      </w:pPr>
      <w:bookmarkStart w:id="4" w:name="_Toc515379137"/>
      <w:bookmarkStart w:id="5" w:name="_Toc522766132"/>
      <w:r>
        <w:lastRenderedPageBreak/>
        <w:t>Introduction</w:t>
      </w:r>
      <w:bookmarkEnd w:id="4"/>
      <w:bookmarkEnd w:id="5"/>
    </w:p>
    <w:p w14:paraId="56396CF3" w14:textId="696DD78C" w:rsidR="00C87653" w:rsidRDefault="000A65AC" w:rsidP="000A65AC">
      <w:r>
        <w:t>CoPP has undertaken period</w:t>
      </w:r>
      <w:r w:rsidR="00C87653">
        <w:t>ic</w:t>
      </w:r>
      <w:r>
        <w:t xml:space="preserve"> reviews of the PPHR since it was finalised in 2001.  To assist in this process, and as a precursor to a more comprehensive review of the PPHR, CoPP has initiated a Heritage Program.  </w:t>
      </w:r>
      <w:r w:rsidR="00C87653">
        <w:t xml:space="preserve">The brief </w:t>
      </w:r>
      <w:r>
        <w:t xml:space="preserve">for Stage 1 </w:t>
      </w:r>
      <w:r w:rsidR="00C87653">
        <w:t xml:space="preserve">of </w:t>
      </w:r>
      <w:r>
        <w:t xml:space="preserve">the Heritage Program </w:t>
      </w:r>
      <w:r w:rsidR="00C87653">
        <w:t xml:space="preserve">included an emphasis on community consultation (see </w:t>
      </w:r>
      <w:r>
        <w:t>Appendix A</w:t>
      </w:r>
      <w:r w:rsidR="00C87653">
        <w:t>)</w:t>
      </w:r>
      <w:r>
        <w:t>.</w:t>
      </w:r>
      <w:r w:rsidR="00C87653">
        <w:t xml:space="preserve"> </w:t>
      </w:r>
    </w:p>
    <w:p w14:paraId="0CC639E3" w14:textId="57CF4B40" w:rsidR="000A65AC" w:rsidRDefault="000A65AC" w:rsidP="000A65AC">
      <w:r>
        <w:t xml:space="preserve">Objectives </w:t>
      </w:r>
      <w:r w:rsidR="00C87653">
        <w:t>of Stage 1</w:t>
      </w:r>
      <w:r>
        <w:t xml:space="preserve"> required that the consultant team establish: </w:t>
      </w:r>
    </w:p>
    <w:p w14:paraId="2BA77C9A" w14:textId="77777777" w:rsidR="000A65AC" w:rsidRDefault="000A65AC" w:rsidP="000A65AC">
      <w:pPr>
        <w:pStyle w:val="list1"/>
        <w:numPr>
          <w:ilvl w:val="0"/>
          <w:numId w:val="4"/>
        </w:numPr>
        <w:tabs>
          <w:tab w:val="left" w:pos="720"/>
        </w:tabs>
      </w:pPr>
      <w:r>
        <w:t>What</w:t>
      </w:r>
      <w:r w:rsidRPr="00D91C49">
        <w:t xml:space="preserve"> </w:t>
      </w:r>
      <w:r>
        <w:t xml:space="preserve">the concept of </w:t>
      </w:r>
      <w:r w:rsidRPr="00D91C49">
        <w:t xml:space="preserve">‘heritage’ </w:t>
      </w:r>
      <w:r>
        <w:t xml:space="preserve">means to the people of Port Phillip </w:t>
      </w:r>
      <w:r w:rsidRPr="00D91C49">
        <w:t>in the twenty-first century</w:t>
      </w:r>
      <w:r>
        <w:t xml:space="preserve">; </w:t>
      </w:r>
    </w:p>
    <w:p w14:paraId="5363F031" w14:textId="77777777" w:rsidR="000A65AC" w:rsidRDefault="000A65AC" w:rsidP="000A65AC">
      <w:pPr>
        <w:pStyle w:val="list1"/>
        <w:numPr>
          <w:ilvl w:val="0"/>
          <w:numId w:val="4"/>
        </w:numPr>
        <w:tabs>
          <w:tab w:val="left" w:pos="720"/>
        </w:tabs>
      </w:pPr>
      <w:r>
        <w:t xml:space="preserve">The types of places that are valued by the community in 2018, and the reasons why they are valued; </w:t>
      </w:r>
    </w:p>
    <w:p w14:paraId="3C02763F" w14:textId="77777777" w:rsidR="000A65AC" w:rsidRDefault="000A65AC" w:rsidP="000A65AC">
      <w:pPr>
        <w:pStyle w:val="list1"/>
        <w:numPr>
          <w:ilvl w:val="0"/>
          <w:numId w:val="4"/>
        </w:numPr>
        <w:tabs>
          <w:tab w:val="left" w:pos="720"/>
        </w:tabs>
      </w:pPr>
      <w:r>
        <w:t>Differences between the types of places that are valued today and the types of places that were valued during the 1980s-2000s;</w:t>
      </w:r>
    </w:p>
    <w:p w14:paraId="457F1EAF" w14:textId="77777777" w:rsidR="000A65AC" w:rsidRDefault="000A65AC" w:rsidP="000A65AC">
      <w:pPr>
        <w:pStyle w:val="list1"/>
        <w:numPr>
          <w:ilvl w:val="0"/>
          <w:numId w:val="4"/>
        </w:numPr>
        <w:tabs>
          <w:tab w:val="left" w:pos="720"/>
        </w:tabs>
      </w:pPr>
      <w:r>
        <w:t xml:space="preserve">Differences between the reasons why the community values places today and the reasons why they were valued during the 1980s-2000s, including consideration of social value; </w:t>
      </w:r>
    </w:p>
    <w:p w14:paraId="38C90A93" w14:textId="77777777" w:rsidR="000A65AC" w:rsidRDefault="000A65AC" w:rsidP="000A65AC">
      <w:pPr>
        <w:pStyle w:val="list1"/>
        <w:numPr>
          <w:ilvl w:val="0"/>
          <w:numId w:val="4"/>
        </w:numPr>
        <w:tabs>
          <w:tab w:val="left" w:pos="720"/>
        </w:tabs>
      </w:pPr>
      <w:r>
        <w:t>Places that are valued by the community today, but are not subject to statutory controls (i.e. places that may be perceived to be under threat);</w:t>
      </w:r>
    </w:p>
    <w:p w14:paraId="13A76B91" w14:textId="77777777" w:rsidR="000A65AC" w:rsidRDefault="000A65AC" w:rsidP="000A65AC">
      <w:pPr>
        <w:pStyle w:val="list1"/>
        <w:numPr>
          <w:ilvl w:val="0"/>
          <w:numId w:val="4"/>
        </w:numPr>
        <w:tabs>
          <w:tab w:val="left" w:pos="720"/>
        </w:tabs>
      </w:pPr>
      <w:r>
        <w:t>The extent to which the community is aware of Council’s varied contributions in recognising and promoting heritage in the CoPP;</w:t>
      </w:r>
    </w:p>
    <w:p w14:paraId="18D65C11" w14:textId="77777777" w:rsidR="000A65AC" w:rsidRDefault="000A65AC" w:rsidP="000A65AC">
      <w:pPr>
        <w:pStyle w:val="list1"/>
        <w:numPr>
          <w:ilvl w:val="0"/>
          <w:numId w:val="4"/>
        </w:numPr>
        <w:tabs>
          <w:tab w:val="left" w:pos="720"/>
        </w:tabs>
      </w:pPr>
      <w:r>
        <w:t xml:space="preserve">The extent to which the community is aware of the limits of legislation, particularly in managing intangible heritage values; and </w:t>
      </w:r>
    </w:p>
    <w:p w14:paraId="7296A91A" w14:textId="77777777" w:rsidR="000A65AC" w:rsidRPr="00922CE8" w:rsidRDefault="000A65AC" w:rsidP="000A65AC">
      <w:pPr>
        <w:pStyle w:val="list1"/>
        <w:numPr>
          <w:ilvl w:val="0"/>
          <w:numId w:val="4"/>
        </w:numPr>
        <w:tabs>
          <w:tab w:val="left" w:pos="720"/>
        </w:tabs>
      </w:pPr>
      <w:r>
        <w:t>New opportunities to celebrate and protect places of heritage value.</w:t>
      </w:r>
      <w:r>
        <w:rPr>
          <w:rStyle w:val="FootnoteReference"/>
        </w:rPr>
        <w:footnoteReference w:id="6"/>
      </w:r>
    </w:p>
    <w:p w14:paraId="1D6A2CF1" w14:textId="77777777" w:rsidR="000A65AC" w:rsidRDefault="000A65AC" w:rsidP="000A65AC">
      <w:r>
        <w:t xml:space="preserve">While the consultation was required to address all heritage places in the municipality, a focus of this first stage was on places of social value, including how places that are valued for reasons of communal attachment can be identified.  </w:t>
      </w:r>
    </w:p>
    <w:p w14:paraId="18E23BBD" w14:textId="699E7474" w:rsidR="000A65AC" w:rsidRDefault="000A65AC" w:rsidP="000A65AC">
      <w:r>
        <w:t xml:space="preserve">Outcomes of the consultation were the principal source of information relied upon in this report.  Other sources of information referenced included analysis of community-based digital media/sources, and a review of initiatives overseas and in Australia to bring community groups into the process of influencing local heritage and planning agendas (see Sections </w:t>
      </w:r>
      <w:r>
        <w:fldChar w:fldCharType="begin"/>
      </w:r>
      <w:r>
        <w:instrText xml:space="preserve"> REF _Ref519600297 \r \h </w:instrText>
      </w:r>
      <w:r>
        <w:fldChar w:fldCharType="separate"/>
      </w:r>
      <w:r w:rsidR="003E105F">
        <w:t>2.2</w:t>
      </w:r>
      <w:r>
        <w:fldChar w:fldCharType="end"/>
      </w:r>
      <w:r>
        <w:t xml:space="preserve"> and </w:t>
      </w:r>
      <w:r>
        <w:fldChar w:fldCharType="begin"/>
      </w:r>
      <w:r>
        <w:instrText xml:space="preserve"> REF _Ref519600299 \r \h </w:instrText>
      </w:r>
      <w:r>
        <w:fldChar w:fldCharType="separate"/>
      </w:r>
      <w:r w:rsidR="003E105F">
        <w:t>3.0</w:t>
      </w:r>
      <w:r>
        <w:fldChar w:fldCharType="end"/>
      </w:r>
      <w:r>
        <w:t xml:space="preserve">).  </w:t>
      </w:r>
    </w:p>
    <w:p w14:paraId="6C5D2FB1" w14:textId="77777777" w:rsidR="000D6DF2" w:rsidRDefault="000D6DF2" w:rsidP="000D6DF2">
      <w:r>
        <w:t>This report synthesises the outcomes of Stage 1</w:t>
      </w:r>
      <w:r w:rsidRPr="001F378C">
        <w:t xml:space="preserve"> </w:t>
      </w:r>
      <w:r>
        <w:t>of the Heritage Program and will be used to inform future stages of the work.</w:t>
      </w:r>
    </w:p>
    <w:p w14:paraId="094A64AB" w14:textId="77777777" w:rsidR="00053D37" w:rsidRPr="00053D37" w:rsidRDefault="00053D37" w:rsidP="00053D37">
      <w:pPr>
        <w:pStyle w:val="Heading3"/>
        <w:tabs>
          <w:tab w:val="clear" w:pos="2128"/>
          <w:tab w:val="num" w:pos="851"/>
        </w:tabs>
        <w:ind w:left="0" w:firstLine="0"/>
        <w:rPr>
          <w:bCs w:val="0"/>
        </w:rPr>
      </w:pPr>
      <w:bookmarkStart w:id="6" w:name="_Toc522766133"/>
      <w:r w:rsidRPr="00053D37">
        <w:rPr>
          <w:bCs w:val="0"/>
        </w:rPr>
        <w:t>Preliminary desktop review</w:t>
      </w:r>
      <w:bookmarkEnd w:id="6"/>
      <w:r w:rsidRPr="00053D37">
        <w:rPr>
          <w:bCs w:val="0"/>
        </w:rPr>
        <w:t xml:space="preserve"> </w:t>
      </w:r>
    </w:p>
    <w:p w14:paraId="13998719" w14:textId="7C86342A" w:rsidR="000D6DF2" w:rsidRPr="000D6DF2" w:rsidRDefault="00A4374E" w:rsidP="000D6DF2">
      <w:r>
        <w:t>T</w:t>
      </w:r>
      <w:r w:rsidR="000D6DF2" w:rsidRPr="000D6DF2">
        <w:t>he brief also required the identification of types of places that are poorly or under-represented in the PPHR.  Preparatory to this work Council initiated an examination of places which, although graded in earlier heritage studies, were not protected, in addition to the identification of places which fell into typologies which were poorly and, in some cases, unrepresented in heritage listings.</w:t>
      </w:r>
    </w:p>
    <w:p w14:paraId="55BF2E4F" w14:textId="4B6698F1" w:rsidR="000D6DF2" w:rsidRPr="00A4374E" w:rsidRDefault="000D6DF2" w:rsidP="000D6DF2">
      <w:r w:rsidRPr="000D6DF2">
        <w:t xml:space="preserve">In the former case a desktop review focussed on places classified as ‘Contributory Heritage Place – outside HO’.  Prior to amalgamation (1994), properties in Port Melbourne, South Melbourne and St Kilda, were graded on a six-tier letter-based hierarchy, ‘A-F’.  Properties with lower gradings, specifically ‘E’ and ‘F’, that were within HO precincts were later recognised as ‘Contributory’ places within precincts in the PPHR.  Properties graded ‘D’, ‘E’ and ‘F’ that were outside a HO precinct were not considered for </w:t>
      </w:r>
      <w:r w:rsidRPr="000D6DF2">
        <w:lastRenderedPageBreak/>
        <w:t xml:space="preserve">site-specific controls.  </w:t>
      </w:r>
      <w:r w:rsidR="00A4374E">
        <w:t>T</w:t>
      </w:r>
      <w:r w:rsidRPr="00A4374E">
        <w:t xml:space="preserve">his desktop work </w:t>
      </w:r>
      <w:r w:rsidR="00A4374E">
        <w:t xml:space="preserve">has </w:t>
      </w:r>
      <w:r w:rsidRPr="00A4374E">
        <w:t xml:space="preserve">identified approximately 200 additional heritage places which are currently without heritage protection, the majority of which are private residences.  </w:t>
      </w:r>
    </w:p>
    <w:p w14:paraId="6B669E78" w14:textId="6B583FAD" w:rsidR="000D6DF2" w:rsidRPr="00A4374E" w:rsidRDefault="000D6DF2" w:rsidP="000D6DF2">
      <w:r w:rsidRPr="00A4374E">
        <w:t xml:space="preserve">As related to the issue of typologies, under-represented groups included post-World War II places, industrial sites and flats.  Another perceived gap in the PPHR, identified in the review, is an under-representation of places of social significance.  The identification of gaps in the representation of cultural heritage values is an inversion of typical approaches – heritage studies/analyses are generally place or typology-based.  As discussed at Section </w:t>
      </w:r>
      <w:r w:rsidRPr="00A4374E">
        <w:fldChar w:fldCharType="begin"/>
      </w:r>
      <w:r w:rsidRPr="00A4374E">
        <w:instrText xml:space="preserve"> REF _Ref518986366 \r \h  \* MERGEFORMAT </w:instrText>
      </w:r>
      <w:r w:rsidRPr="00A4374E">
        <w:fldChar w:fldCharType="separate"/>
      </w:r>
      <w:r w:rsidR="003E105F">
        <w:t>3.0</w:t>
      </w:r>
      <w:r w:rsidRPr="00A4374E">
        <w:fldChar w:fldCharType="end"/>
      </w:r>
      <w:r w:rsidRPr="00A4374E">
        <w:t xml:space="preserve">, this aspect of the brief is consistent with patterns seen elsewhere and can be understood as being indicative of a broader schism in the conception and practice of heritage in the twenty-first century.  </w:t>
      </w:r>
    </w:p>
    <w:p w14:paraId="5ADA5535" w14:textId="77777777" w:rsidR="000D6DF2" w:rsidRPr="00A4374E" w:rsidRDefault="000D6DF2" w:rsidP="000D6DF2">
      <w:r w:rsidRPr="00A4374E">
        <w:t xml:space="preserve">Detailed analysis of the preliminary desktop review undertaken by the CoPP did not form part of Stage 1.  While details of the properties identified were provided, consideration of the relative heritage merits of these, and other, properties will be addressed in subsequent stages of the Heritage Program.  </w:t>
      </w:r>
    </w:p>
    <w:p w14:paraId="5BF13486" w14:textId="77777777" w:rsidR="00B7794A" w:rsidRDefault="00474357" w:rsidP="00B7794A">
      <w:pPr>
        <w:pStyle w:val="Heading2"/>
      </w:pPr>
      <w:bookmarkStart w:id="7" w:name="_Toc522766134"/>
      <w:r>
        <w:t>Project team</w:t>
      </w:r>
      <w:bookmarkEnd w:id="7"/>
    </w:p>
    <w:p w14:paraId="4F78ED58" w14:textId="77777777" w:rsidR="00D86E88" w:rsidRDefault="00B75912" w:rsidP="00B7794A">
      <w:r>
        <w:t xml:space="preserve">Stage 1 of the Port Phillip Heritage Program was undertaken collaboratively by Lovell Chen Architects &amp; Heritage Consultants (lead consultant) and </w:t>
      </w:r>
      <w:r w:rsidR="00674E55">
        <w:t>Elton Consulting</w:t>
      </w:r>
      <w:r w:rsidR="00D86E88">
        <w:t xml:space="preserve">, </w:t>
      </w:r>
      <w:r w:rsidR="00674E55">
        <w:t xml:space="preserve">specialist in </w:t>
      </w:r>
      <w:r>
        <w:t xml:space="preserve">community engagement and consultation. </w:t>
      </w:r>
      <w:r w:rsidR="00674E55">
        <w:t xml:space="preserve"> </w:t>
      </w:r>
    </w:p>
    <w:p w14:paraId="30FAD3BC" w14:textId="2B3981FE" w:rsidR="002F3309" w:rsidRDefault="001A58E6" w:rsidP="00A44F85">
      <w:r>
        <w:t xml:space="preserve">Lovell Chen </w:t>
      </w:r>
      <w:r w:rsidR="00253705">
        <w:t>brief</w:t>
      </w:r>
      <w:r w:rsidR="00070379">
        <w:t>ed</w:t>
      </w:r>
      <w:r w:rsidR="00253705">
        <w:t xml:space="preserve"> the project team; </w:t>
      </w:r>
      <w:r w:rsidR="00337049" w:rsidRPr="00070379">
        <w:t>provided</w:t>
      </w:r>
      <w:r w:rsidR="00337049">
        <w:t xml:space="preserve"> </w:t>
      </w:r>
      <w:r>
        <w:t>technical inputs to the consultation strategy; attended the consultation sessions (face-to-face meetings/workshops</w:t>
      </w:r>
      <w:r w:rsidR="00A200A9">
        <w:t xml:space="preserve"> </w:t>
      </w:r>
      <w:r>
        <w:t>and ‘pop-ups’</w:t>
      </w:r>
      <w:r w:rsidR="00A200A9">
        <w:t xml:space="preserve">, see Section </w:t>
      </w:r>
      <w:r w:rsidR="00A200A9">
        <w:fldChar w:fldCharType="begin"/>
      </w:r>
      <w:r w:rsidR="00A200A9">
        <w:instrText xml:space="preserve"> REF _Ref518914845 \r \h </w:instrText>
      </w:r>
      <w:r w:rsidR="00A200A9">
        <w:fldChar w:fldCharType="separate"/>
      </w:r>
      <w:r w:rsidR="003E105F">
        <w:t>2.1</w:t>
      </w:r>
      <w:r w:rsidR="00A200A9">
        <w:fldChar w:fldCharType="end"/>
      </w:r>
      <w:r>
        <w:t xml:space="preserve">); undertook </w:t>
      </w:r>
      <w:r w:rsidR="00D350AD">
        <w:t xml:space="preserve">research into issues related to social value and community engagement in heritage management; </w:t>
      </w:r>
      <w:r>
        <w:t xml:space="preserve">and </w:t>
      </w:r>
      <w:r w:rsidR="000D6DF2">
        <w:t>prepared</w:t>
      </w:r>
      <w:r>
        <w:t xml:space="preserve"> this report.  </w:t>
      </w:r>
      <w:r w:rsidR="001C74D3">
        <w:t>Elton</w:t>
      </w:r>
      <w:r w:rsidR="005D3643" w:rsidRPr="005D3643">
        <w:t xml:space="preserve"> </w:t>
      </w:r>
      <w:r w:rsidR="005D3643">
        <w:t>Consulting</w:t>
      </w:r>
      <w:r w:rsidR="001C74D3">
        <w:t xml:space="preserve"> took a lead </w:t>
      </w:r>
      <w:r w:rsidR="005D3643">
        <w:t xml:space="preserve">role </w:t>
      </w:r>
      <w:r w:rsidR="001C74D3">
        <w:t xml:space="preserve">in preparing and implementing the </w:t>
      </w:r>
      <w:r w:rsidR="005D3643">
        <w:t>consultation strategy</w:t>
      </w:r>
      <w:r w:rsidR="00AA391C">
        <w:t xml:space="preserve">, and wrote the </w:t>
      </w:r>
      <w:r w:rsidR="00070379">
        <w:t>‘Consultation Plan’</w:t>
      </w:r>
      <w:r w:rsidR="00E21B5A">
        <w:t xml:space="preserve"> (Appendix B) and Consultation Report (Appendix C).  </w:t>
      </w:r>
    </w:p>
    <w:p w14:paraId="6D361BB0" w14:textId="0E1E06E2" w:rsidR="00B7794A" w:rsidRDefault="00D350AD" w:rsidP="00A44F85">
      <w:r>
        <w:t xml:space="preserve">CoPP staff also made considerable contributions to the project.  </w:t>
      </w:r>
    </w:p>
    <w:p w14:paraId="4FD11D28" w14:textId="77777777" w:rsidR="00B7794A" w:rsidRPr="00CB4956" w:rsidRDefault="00A44F85" w:rsidP="00B7794A">
      <w:r>
        <w:t xml:space="preserve">Key members of the </w:t>
      </w:r>
      <w:r w:rsidR="00B7794A">
        <w:t xml:space="preserve">project team </w:t>
      </w:r>
      <w:r>
        <w:t>included</w:t>
      </w:r>
      <w:r w:rsidR="00B7794A">
        <w:t xml:space="preserve">: </w:t>
      </w:r>
    </w:p>
    <w:p w14:paraId="245868DD" w14:textId="77777777" w:rsidR="00B7794A" w:rsidRDefault="00B7794A" w:rsidP="0046570C">
      <w:pPr>
        <w:pStyle w:val="list1"/>
        <w:numPr>
          <w:ilvl w:val="0"/>
          <w:numId w:val="5"/>
        </w:numPr>
      </w:pPr>
      <w:r>
        <w:t xml:space="preserve">Adam Mornement and Felicity Strong </w:t>
      </w:r>
      <w:r w:rsidR="00A44F85">
        <w:t xml:space="preserve">of Lovell Chen </w:t>
      </w:r>
    </w:p>
    <w:p w14:paraId="6EBBBE40" w14:textId="77777777" w:rsidR="00B7794A" w:rsidRDefault="00A44F85" w:rsidP="0046570C">
      <w:pPr>
        <w:pStyle w:val="list1"/>
        <w:numPr>
          <w:ilvl w:val="0"/>
          <w:numId w:val="5"/>
        </w:numPr>
      </w:pPr>
      <w:r>
        <w:t xml:space="preserve">Bronwyn Raso, Camilla Hamilton and Matt McNally of </w:t>
      </w:r>
      <w:r w:rsidR="00B7794A">
        <w:t>Elton Consulting</w:t>
      </w:r>
    </w:p>
    <w:p w14:paraId="43CA771A" w14:textId="2B341BBC" w:rsidR="005F220A" w:rsidRDefault="00B7794A" w:rsidP="005F220A">
      <w:pPr>
        <w:pStyle w:val="list1"/>
        <w:numPr>
          <w:ilvl w:val="0"/>
          <w:numId w:val="5"/>
        </w:numPr>
      </w:pPr>
      <w:r>
        <w:t>Monica Qi</w:t>
      </w:r>
      <w:r w:rsidR="00DA3403">
        <w:t>ng</w:t>
      </w:r>
      <w:r w:rsidR="00474357">
        <w:t xml:space="preserve">, </w:t>
      </w:r>
      <w:r w:rsidR="00474357" w:rsidRPr="00474357">
        <w:t>Senior Urban Design &amp; Herita</w:t>
      </w:r>
      <w:r w:rsidR="005F220A">
        <w:t xml:space="preserve">ge Policy Officer; </w:t>
      </w:r>
      <w:r w:rsidR="00DA3403">
        <w:t>David Helms</w:t>
      </w:r>
      <w:r w:rsidR="005F220A">
        <w:t xml:space="preserve">, Heritage Advisor; and </w:t>
      </w:r>
      <w:r w:rsidR="005F220A" w:rsidRPr="005F220A">
        <w:t>Stevie Meyer</w:t>
      </w:r>
      <w:r w:rsidR="005F220A">
        <w:t xml:space="preserve">, </w:t>
      </w:r>
      <w:r w:rsidR="005F220A" w:rsidRPr="005F220A">
        <w:t>Senior Strategic</w:t>
      </w:r>
      <w:r w:rsidR="005F220A">
        <w:t xml:space="preserve"> Planner at the CoPP</w:t>
      </w:r>
    </w:p>
    <w:p w14:paraId="1715AECF" w14:textId="77777777" w:rsidR="000D7E7D" w:rsidRDefault="000D7E7D" w:rsidP="000D7E7D">
      <w:pPr>
        <w:pStyle w:val="Heading2"/>
      </w:pPr>
      <w:bookmarkStart w:id="8" w:name="_Toc522766135"/>
      <w:r>
        <w:t>Limitations</w:t>
      </w:r>
      <w:r w:rsidR="0003440F">
        <w:t xml:space="preserve"> and exclusions</w:t>
      </w:r>
      <w:bookmarkEnd w:id="8"/>
      <w:r w:rsidR="0003440F">
        <w:t xml:space="preserve"> </w:t>
      </w:r>
    </w:p>
    <w:p w14:paraId="35E00707" w14:textId="77777777" w:rsidR="00F958D2" w:rsidRPr="00F958D2" w:rsidRDefault="00F958D2" w:rsidP="00F958D2">
      <w:pPr>
        <w:pStyle w:val="Heading3"/>
        <w:tabs>
          <w:tab w:val="clear" w:pos="2128"/>
        </w:tabs>
        <w:ind w:left="851"/>
      </w:pPr>
      <w:bookmarkStart w:id="9" w:name="_Toc522766136"/>
      <w:bookmarkStart w:id="10" w:name="_Ref509828840"/>
      <w:bookmarkStart w:id="11" w:name="_Toc515379143"/>
      <w:r w:rsidRPr="00F958D2">
        <w:t>Consultation ‘reach’</w:t>
      </w:r>
      <w:bookmarkEnd w:id="9"/>
    </w:p>
    <w:p w14:paraId="5248B07E" w14:textId="2E95965F" w:rsidR="00D1515F" w:rsidRDefault="00E76DD3" w:rsidP="000D7E7D">
      <w:r>
        <w:t xml:space="preserve">Priorities </w:t>
      </w:r>
      <w:r w:rsidR="00D1515F">
        <w:t>for</w:t>
      </w:r>
      <w:r w:rsidR="00D1515F" w:rsidRPr="000B5C69">
        <w:t xml:space="preserve"> </w:t>
      </w:r>
      <w:r w:rsidR="00D1515F">
        <w:t xml:space="preserve">the </w:t>
      </w:r>
      <w:r w:rsidR="00D1515F" w:rsidRPr="000B5C69">
        <w:t>consultation</w:t>
      </w:r>
      <w:r w:rsidR="00D1515F">
        <w:t xml:space="preserve"> </w:t>
      </w:r>
      <w:r>
        <w:t xml:space="preserve">were </w:t>
      </w:r>
      <w:r w:rsidR="006418C5">
        <w:t xml:space="preserve">to promote </w:t>
      </w:r>
      <w:r w:rsidR="006418C5" w:rsidRPr="006418C5">
        <w:t xml:space="preserve">awareness of the </w:t>
      </w:r>
      <w:r w:rsidR="00D1515F">
        <w:t>project</w:t>
      </w:r>
      <w:r w:rsidR="006418C5" w:rsidRPr="006418C5">
        <w:t xml:space="preserve"> and to </w:t>
      </w:r>
      <w:r w:rsidR="006418C5">
        <w:t>achieve the greatest level of engagement possible</w:t>
      </w:r>
      <w:r w:rsidR="00D1515F">
        <w:t xml:space="preserve"> within the </w:t>
      </w:r>
      <w:r w:rsidR="001F27AE">
        <w:t>allocation of time and resources to the project</w:t>
      </w:r>
      <w:r w:rsidR="006418C5">
        <w:t>.  A</w:t>
      </w:r>
      <w:r w:rsidR="00D1515F">
        <w:t>nother</w:t>
      </w:r>
      <w:r w:rsidR="006418C5">
        <w:t xml:space="preserve"> </w:t>
      </w:r>
      <w:r w:rsidR="00EA5BB4" w:rsidRPr="000B5C69">
        <w:t>as</w:t>
      </w:r>
      <w:r w:rsidR="00A9266A" w:rsidRPr="000B5C69">
        <w:t>piration</w:t>
      </w:r>
      <w:r w:rsidR="00EA5BB4" w:rsidRPr="000B5C69">
        <w:t xml:space="preserve"> was to reach out to groups who are typically inactive in public consultations</w:t>
      </w:r>
      <w:r w:rsidR="006418C5">
        <w:t>,</w:t>
      </w:r>
      <w:r w:rsidR="00EA5BB4" w:rsidRPr="000B5C69">
        <w:t xml:space="preserve"> </w:t>
      </w:r>
      <w:r w:rsidR="00D1515F">
        <w:t>including</w:t>
      </w:r>
      <w:r w:rsidR="006418C5">
        <w:t xml:space="preserve">: </w:t>
      </w:r>
      <w:r w:rsidR="002F3309">
        <w:t>Traditional Owner (TO) groups</w:t>
      </w:r>
      <w:r w:rsidR="00EA5BB4" w:rsidRPr="000B5C69">
        <w:t xml:space="preserve"> (see Section </w:t>
      </w:r>
      <w:r w:rsidR="00EA5BB4" w:rsidRPr="000B5C69">
        <w:fldChar w:fldCharType="begin"/>
      </w:r>
      <w:r w:rsidR="00EA5BB4" w:rsidRPr="000B5C69">
        <w:instrText xml:space="preserve"> REF _Ref518563513 \r \h </w:instrText>
      </w:r>
      <w:r w:rsidR="000B5C69">
        <w:instrText xml:space="preserve"> \* MERGEFORMAT </w:instrText>
      </w:r>
      <w:r w:rsidR="00EA5BB4" w:rsidRPr="000B5C69">
        <w:fldChar w:fldCharType="separate"/>
      </w:r>
      <w:r w:rsidR="003E105F">
        <w:t>1.3.2</w:t>
      </w:r>
      <w:r w:rsidR="00EA5BB4" w:rsidRPr="000B5C69">
        <w:fldChar w:fldCharType="end"/>
      </w:r>
      <w:r w:rsidR="00EA5BB4" w:rsidRPr="000B5C69">
        <w:t>); younger people; transient members of the communi</w:t>
      </w:r>
      <w:r w:rsidR="000B5C69" w:rsidRPr="000B5C69">
        <w:t>ty</w:t>
      </w:r>
      <w:r w:rsidR="001D7AA4">
        <w:t xml:space="preserve">, </w:t>
      </w:r>
      <w:r w:rsidR="006418C5">
        <w:t>i</w:t>
      </w:r>
      <w:r w:rsidR="00D1515F">
        <w:t>ncluding</w:t>
      </w:r>
      <w:r w:rsidR="006418C5">
        <w:t xml:space="preserve"> </w:t>
      </w:r>
      <w:r w:rsidR="00EA5BB4" w:rsidRPr="000B5C69">
        <w:t xml:space="preserve">students and people living in rented </w:t>
      </w:r>
      <w:r w:rsidR="00D1515F">
        <w:t>accommodation</w:t>
      </w:r>
      <w:r w:rsidR="006418C5">
        <w:t xml:space="preserve">; </w:t>
      </w:r>
      <w:r w:rsidR="00EA5BB4" w:rsidRPr="000B5C69">
        <w:t>families</w:t>
      </w:r>
      <w:r w:rsidR="00126D1F">
        <w:t xml:space="preserve"> with young children</w:t>
      </w:r>
      <w:r w:rsidR="000B5C69" w:rsidRPr="000B5C69">
        <w:t>; m</w:t>
      </w:r>
      <w:r w:rsidR="00EA5BB4" w:rsidRPr="000B5C69">
        <w:t>ulti-cultural communities</w:t>
      </w:r>
      <w:r w:rsidR="000B5C69" w:rsidRPr="000B5C69">
        <w:t>; and a</w:t>
      </w:r>
      <w:r w:rsidR="00EA5BB4" w:rsidRPr="000B5C69">
        <w:t>rt</w:t>
      </w:r>
      <w:r w:rsidR="000B5C69" w:rsidRPr="000B5C69">
        <w:t xml:space="preserve">s groups. </w:t>
      </w:r>
      <w:r w:rsidR="000B5C69">
        <w:t xml:space="preserve"> </w:t>
      </w:r>
    </w:p>
    <w:p w14:paraId="209172B8" w14:textId="42E06016" w:rsidR="00F25935" w:rsidRDefault="0096484D" w:rsidP="000D7E7D">
      <w:r>
        <w:t>As discussed below</w:t>
      </w:r>
      <w:r w:rsidR="00D44C9D">
        <w:t>, and throughout the report</w:t>
      </w:r>
      <w:r>
        <w:t xml:space="preserve">, these aspirations were met with varying degrees of success.  </w:t>
      </w:r>
      <w:r w:rsidR="00EF5BCE">
        <w:t xml:space="preserve">One limitation </w:t>
      </w:r>
      <w:r>
        <w:t xml:space="preserve">was accessing younger people: of the </w:t>
      </w:r>
      <w:r w:rsidRPr="00790E70">
        <w:t>21</w:t>
      </w:r>
      <w:r w:rsidR="001D7AA4" w:rsidRPr="00790E70">
        <w:t>7</w:t>
      </w:r>
      <w:r>
        <w:t xml:space="preserve"> respondents to the survey, 154 were aged from 45 to 75+, representing 7</w:t>
      </w:r>
      <w:r w:rsidR="00C505DA">
        <w:t xml:space="preserve">1 </w:t>
      </w:r>
      <w:r w:rsidR="00D44C9D">
        <w:t xml:space="preserve">per cent </w:t>
      </w:r>
      <w:r>
        <w:t xml:space="preserve">of respondents, with 51 respondents aged between </w:t>
      </w:r>
      <w:r w:rsidR="00F7610D">
        <w:t>15 and 44 (</w:t>
      </w:r>
      <w:r>
        <w:t>23.9</w:t>
      </w:r>
      <w:r w:rsidR="00D44C9D">
        <w:t xml:space="preserve"> per cent</w:t>
      </w:r>
      <w:r w:rsidR="00F7610D">
        <w:t>).</w:t>
      </w:r>
      <w:r w:rsidR="00F7610D">
        <w:rPr>
          <w:rStyle w:val="FootnoteReference"/>
        </w:rPr>
        <w:footnoteReference w:id="7"/>
      </w:r>
      <w:r w:rsidR="00F25935">
        <w:t xml:space="preserve">  </w:t>
      </w:r>
      <w:r w:rsidR="00EF5BCE">
        <w:t xml:space="preserve">Another challenge was </w:t>
      </w:r>
      <w:r w:rsidR="002F3309">
        <w:t xml:space="preserve">a </w:t>
      </w:r>
      <w:r w:rsidR="00EF5BCE">
        <w:t xml:space="preserve">low response numbers from </w:t>
      </w:r>
      <w:r w:rsidR="00EF5BCE" w:rsidRPr="00EF5BCE">
        <w:t>families with children</w:t>
      </w:r>
      <w:r w:rsidR="00EF5BCE">
        <w:t>.  As a consequence</w:t>
      </w:r>
      <w:r w:rsidR="00D44C9D">
        <w:t xml:space="preserve"> of these factors</w:t>
      </w:r>
      <w:r w:rsidR="00EF5BCE">
        <w:t xml:space="preserve">, focus </w:t>
      </w:r>
      <w:r w:rsidR="00EF5BCE" w:rsidRPr="00EF5BCE">
        <w:t xml:space="preserve">groups </w:t>
      </w:r>
      <w:r w:rsidR="002F3309">
        <w:t xml:space="preserve">proposed to be conducted </w:t>
      </w:r>
      <w:r w:rsidR="00EF5BCE" w:rsidRPr="00EF5BCE">
        <w:t xml:space="preserve">with </w:t>
      </w:r>
      <w:r w:rsidR="00E23310">
        <w:t xml:space="preserve">younger people and families </w:t>
      </w:r>
      <w:r w:rsidR="00EF5BCE">
        <w:t>did not eventuate</w:t>
      </w:r>
      <w:r w:rsidR="00E23310">
        <w:t>.</w:t>
      </w:r>
      <w:r w:rsidR="00EF5BCE">
        <w:t xml:space="preserve"> </w:t>
      </w:r>
    </w:p>
    <w:p w14:paraId="61E6A280" w14:textId="6623F557" w:rsidR="00F25935" w:rsidRDefault="00805A99" w:rsidP="000D7E7D">
      <w:r>
        <w:lastRenderedPageBreak/>
        <w:t>Success</w:t>
      </w:r>
      <w:r w:rsidR="00C505DA">
        <w:t xml:space="preserve">ful aspects of the consultation ‘reach’ </w:t>
      </w:r>
      <w:r w:rsidR="00E23310">
        <w:t xml:space="preserve">included active engagement with arts groups, </w:t>
      </w:r>
      <w:r w:rsidR="00C505DA">
        <w:t xml:space="preserve">notably </w:t>
      </w:r>
      <w:r w:rsidR="00E23310">
        <w:t xml:space="preserve">a face-to-face meeting with three participants in the field on 5 June (see Section </w:t>
      </w:r>
      <w:r w:rsidR="00E23310">
        <w:fldChar w:fldCharType="begin"/>
      </w:r>
      <w:r w:rsidR="00E23310">
        <w:instrText xml:space="preserve"> REF _Ref518914845 \r \h </w:instrText>
      </w:r>
      <w:r w:rsidR="00E23310">
        <w:fldChar w:fldCharType="separate"/>
      </w:r>
      <w:r w:rsidR="003E105F">
        <w:t>2.1</w:t>
      </w:r>
      <w:r w:rsidR="00E23310">
        <w:fldChar w:fldCharType="end"/>
      </w:r>
      <w:r w:rsidR="00E23310">
        <w:t>)</w:t>
      </w:r>
      <w:r>
        <w:t>, and the c</w:t>
      </w:r>
      <w:r w:rsidR="00F25935">
        <w:t xml:space="preserve">ultural diversity </w:t>
      </w:r>
      <w:r>
        <w:t xml:space="preserve">of respondents, </w:t>
      </w:r>
      <w:r w:rsidR="00F25935">
        <w:t xml:space="preserve">with </w:t>
      </w:r>
      <w:r>
        <w:t>contributions</w:t>
      </w:r>
      <w:r w:rsidR="00F25935">
        <w:t xml:space="preserve"> from </w:t>
      </w:r>
      <w:r>
        <w:t xml:space="preserve">people representing at </w:t>
      </w:r>
      <w:r w:rsidR="00F25935">
        <w:t>least 11 different ethnic backgrounds</w:t>
      </w:r>
      <w:r w:rsidR="00E23310">
        <w:t>.  It is also noted that a</w:t>
      </w:r>
      <w:r w:rsidR="00F25935">
        <w:t>lmost 30</w:t>
      </w:r>
      <w:r w:rsidR="00D44C9D">
        <w:t xml:space="preserve"> per cent</w:t>
      </w:r>
      <w:r w:rsidR="00F25935">
        <w:t xml:space="preserve"> of respondents had been resident in Port Phillip for less than ten years</w:t>
      </w:r>
      <w:r>
        <w:t xml:space="preserve"> (transient population). </w:t>
      </w:r>
    </w:p>
    <w:p w14:paraId="5B0B17BD" w14:textId="7A851F75" w:rsidR="00F7610D" w:rsidRPr="00D1515F" w:rsidRDefault="00F7610D" w:rsidP="000D7E7D">
      <w:r>
        <w:t xml:space="preserve">On balance, </w:t>
      </w:r>
      <w:r w:rsidR="00D44C9D">
        <w:t xml:space="preserve">while the engagement activities yielded a variety of outcomes – from quantitative data to personal observations and positions – it is considered that the cumulative outcome, while unavoidably incomplete, provides a </w:t>
      </w:r>
      <w:r w:rsidR="00C505DA">
        <w:t xml:space="preserve">valuable </w:t>
      </w:r>
      <w:r w:rsidR="00D44C9D">
        <w:t>source of observations and intelligence with the potential to inform subsequent stages of the Heritage Program.</w:t>
      </w:r>
    </w:p>
    <w:p w14:paraId="5A7CDF07" w14:textId="77777777" w:rsidR="00FC1C2F" w:rsidRPr="0063725E" w:rsidRDefault="00FC1C2F" w:rsidP="00FC1C2F">
      <w:pPr>
        <w:pStyle w:val="Heading3"/>
        <w:tabs>
          <w:tab w:val="clear" w:pos="2128"/>
          <w:tab w:val="num" w:pos="851"/>
        </w:tabs>
        <w:ind w:left="0" w:firstLine="0"/>
        <w:rPr>
          <w:bCs w:val="0"/>
        </w:rPr>
      </w:pPr>
      <w:bookmarkStart w:id="12" w:name="_Ref518563513"/>
      <w:bookmarkStart w:id="13" w:name="_Toc522766137"/>
      <w:r w:rsidRPr="0063725E">
        <w:rPr>
          <w:bCs w:val="0"/>
        </w:rPr>
        <w:t>Aboriginal and Torres Strait Islander people</w:t>
      </w:r>
      <w:bookmarkEnd w:id="12"/>
      <w:bookmarkEnd w:id="13"/>
      <w:r w:rsidRPr="0063725E">
        <w:rPr>
          <w:bCs w:val="0"/>
        </w:rPr>
        <w:t xml:space="preserve"> </w:t>
      </w:r>
    </w:p>
    <w:p w14:paraId="72F082CA" w14:textId="384708F1" w:rsidR="00470C63" w:rsidRDefault="00470C63" w:rsidP="00470C63">
      <w:bookmarkStart w:id="14" w:name="_Toc515379142"/>
      <w:r>
        <w:t xml:space="preserve">Consultation with </w:t>
      </w:r>
      <w:bookmarkStart w:id="15" w:name="_Hlk519592489"/>
      <w:r>
        <w:t xml:space="preserve">Aboriginal and Torres Strait Islander people </w:t>
      </w:r>
      <w:bookmarkEnd w:id="15"/>
      <w:r>
        <w:t xml:space="preserve">(generally referred to here as Traditional Owners) was not undertaken during Stage 1.  The decision to engage with TO groups in later stages of the Heritage Program was taken following a meeting between members of the project team and </w:t>
      </w:r>
      <w:r w:rsidR="00C6246E">
        <w:t xml:space="preserve">Council’s </w:t>
      </w:r>
      <w:r w:rsidRPr="0003440F">
        <w:t xml:space="preserve">Indigenous Policy Officer at </w:t>
      </w:r>
      <w:r>
        <w:t xml:space="preserve">St Kilda Town Hall on 23 April 2018.  </w:t>
      </w:r>
      <w:r w:rsidRPr="00E90CBE">
        <w:t>At the meeting, recent and on-going initiatives by TO groups to recognise and celebrate places of significance to them were discussed, including the interpre</w:t>
      </w:r>
      <w:r>
        <w:t>ta</w:t>
      </w:r>
      <w:r w:rsidRPr="00E90CBE">
        <w:t>tive signs project of 2016 (</w:t>
      </w:r>
      <w:r w:rsidRPr="00E90CBE">
        <w:fldChar w:fldCharType="begin"/>
      </w:r>
      <w:r w:rsidRPr="00E90CBE">
        <w:instrText xml:space="preserve"> REF _Ref518558581 \h </w:instrText>
      </w:r>
      <w:r>
        <w:instrText xml:space="preserve"> \* MERGEFORMAT </w:instrText>
      </w:r>
      <w:r w:rsidRPr="00E90CBE">
        <w:fldChar w:fldCharType="separate"/>
      </w:r>
      <w:r w:rsidR="003E105F">
        <w:t>Figure 1</w:t>
      </w:r>
      <w:r w:rsidRPr="00E90CBE">
        <w:fldChar w:fldCharType="end"/>
      </w:r>
      <w:r w:rsidRPr="00E90CBE">
        <w:t xml:space="preserve">).  </w:t>
      </w:r>
      <w:r>
        <w:t>The</w:t>
      </w:r>
      <w:r w:rsidRPr="00E90CBE">
        <w:t xml:space="preserve"> TO groups have a </w:t>
      </w:r>
      <w:r>
        <w:t>well-developed</w:t>
      </w:r>
      <w:r w:rsidRPr="00E90CBE">
        <w:t xml:space="preserve"> and evolved understanding of issues</w:t>
      </w:r>
      <w:r>
        <w:t xml:space="preserve"> associated with the recognition of their heritage (including practices and custo</w:t>
      </w:r>
      <w:r w:rsidR="004E7F18">
        <w:t xml:space="preserve">ms), and </w:t>
      </w:r>
      <w:r>
        <w:t xml:space="preserve">it would be appropriate for engagement with Traditional Owners to be undertaken in a considered and holistic manner at a later stage in the Heritage Program (see Section </w:t>
      </w:r>
      <w:r>
        <w:fldChar w:fldCharType="begin"/>
      </w:r>
      <w:r>
        <w:instrText xml:space="preserve"> REF _Ref519777349 \r \h </w:instrText>
      </w:r>
      <w:r>
        <w:fldChar w:fldCharType="separate"/>
      </w:r>
      <w:r w:rsidR="003E105F">
        <w:t>7.0</w:t>
      </w:r>
      <w:r>
        <w:fldChar w:fldCharType="end"/>
      </w:r>
      <w:r>
        <w:t xml:space="preserve">, recommendation 18).  </w:t>
      </w:r>
    </w:p>
    <w:p w14:paraId="4988C6F7" w14:textId="41E1A706" w:rsidR="004E7F18" w:rsidRPr="004E7F18" w:rsidRDefault="004E7F18" w:rsidP="00470C63">
      <w:pPr>
        <w:rPr>
          <w:highlight w:val="yellow"/>
        </w:rPr>
      </w:pPr>
      <w:r w:rsidRPr="00FC5126">
        <w:t>Despite the decision not to engage with TO groups during Stage 1, issues of relevance to TO values and practices were raised during the campaig</w:t>
      </w:r>
      <w:r>
        <w:t xml:space="preserve">n, including: </w:t>
      </w:r>
      <w:r w:rsidRPr="00FC5126">
        <w:t xml:space="preserve">multiple references to the Ngargee (Corroboree) </w:t>
      </w:r>
      <w:r>
        <w:t xml:space="preserve">at St Kilda Junction; </w:t>
      </w:r>
      <w:r w:rsidRPr="00FC5126">
        <w:t>identification of the recentl</w:t>
      </w:r>
      <w:r>
        <w:t xml:space="preserve">y-introduced interpretive signs; </w:t>
      </w:r>
      <w:r w:rsidRPr="00FC5126">
        <w:t xml:space="preserve">and recommendations for </w:t>
      </w:r>
      <w:r>
        <w:t xml:space="preserve">tours of TO-themed tours of the municipality. </w:t>
      </w:r>
      <w:r w:rsidRPr="00BA2925">
        <w:t xml:space="preserve"> It was also noted that a number of s</w:t>
      </w:r>
      <w:r>
        <w:t>ignificant places i</w:t>
      </w:r>
      <w:r w:rsidRPr="00BA2925">
        <w:t>n the CoPP today were f</w:t>
      </w:r>
      <w:r>
        <w:t xml:space="preserve">irst of </w:t>
      </w:r>
      <w:r w:rsidRPr="00BA2925">
        <w:t>value to the Boon Wurrung, the First Peoples of Port Phillip, including:</w:t>
      </w:r>
    </w:p>
    <w:bookmarkEnd w:id="14"/>
    <w:p w14:paraId="705339D2" w14:textId="77777777" w:rsidR="00F24776" w:rsidRDefault="00F24776" w:rsidP="00F24776">
      <w:pPr>
        <w:pStyle w:val="Figure"/>
      </w:pPr>
      <w:r>
        <w:rPr>
          <w:noProof/>
          <w:lang w:eastAsia="en-AU"/>
        </w:rPr>
        <w:drawing>
          <wp:inline distT="0" distB="0" distL="0" distR="0" wp14:anchorId="333B3AF5" wp14:editId="5BA11E04">
            <wp:extent cx="5076000" cy="3495578"/>
            <wp:effectExtent l="0" t="0" r="0" b="0"/>
            <wp:docPr id="5" name="Picture 5" descr="&#10;Source: www.maggolee.org.au/local-government-areas-view-by-list/port-phillip-city-council, accessed 5 July 2018&#10;" title="Traditional Owners interpretive signs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ggolee.org.au/wp-content/uploads/2016/07/CoPP-Signs-2.jpg"/>
                    <pic:cNvPicPr>
                      <a:picLocks noChangeAspect="1" noChangeArrowheads="1"/>
                    </pic:cNvPicPr>
                  </pic:nvPicPr>
                  <pic:blipFill rotWithShape="1">
                    <a:blip r:embed="rId11">
                      <a:extLst>
                        <a:ext uri="{28A0092B-C50C-407E-A947-70E740481C1C}">
                          <a14:useLocalDpi xmlns:a14="http://schemas.microsoft.com/office/drawing/2010/main" val="0"/>
                        </a:ext>
                      </a:extLst>
                    </a:blip>
                    <a:srcRect t="3790" b="15512"/>
                    <a:stretch/>
                  </pic:blipFill>
                  <pic:spPr bwMode="auto">
                    <a:xfrm>
                      <a:off x="0" y="0"/>
                      <a:ext cx="5076000" cy="3495578"/>
                    </a:xfrm>
                    <a:prstGeom prst="rect">
                      <a:avLst/>
                    </a:prstGeom>
                    <a:noFill/>
                    <a:ln>
                      <a:noFill/>
                    </a:ln>
                    <a:extLst>
                      <a:ext uri="{53640926-AAD7-44D8-BBD7-CCE9431645EC}">
                        <a14:shadowObscured xmlns:a14="http://schemas.microsoft.com/office/drawing/2010/main"/>
                      </a:ext>
                    </a:extLst>
                  </pic:spPr>
                </pic:pic>
              </a:graphicData>
            </a:graphic>
          </wp:inline>
        </w:drawing>
      </w:r>
    </w:p>
    <w:p w14:paraId="43DE300A" w14:textId="6851617A" w:rsidR="00F24776" w:rsidRDefault="00F24776" w:rsidP="00F24776">
      <w:pPr>
        <w:pStyle w:val="Caption"/>
      </w:pPr>
      <w:bookmarkStart w:id="16" w:name="_Ref518558581"/>
      <w:r>
        <w:t xml:space="preserve">Figure </w:t>
      </w:r>
      <w:r>
        <w:rPr>
          <w:noProof/>
        </w:rPr>
        <w:fldChar w:fldCharType="begin"/>
      </w:r>
      <w:r>
        <w:rPr>
          <w:noProof/>
        </w:rPr>
        <w:instrText xml:space="preserve"> SEQ Figure \* ARABIC </w:instrText>
      </w:r>
      <w:r>
        <w:rPr>
          <w:noProof/>
        </w:rPr>
        <w:fldChar w:fldCharType="separate"/>
      </w:r>
      <w:r w:rsidR="003E105F">
        <w:rPr>
          <w:noProof/>
        </w:rPr>
        <w:t>1</w:t>
      </w:r>
      <w:r>
        <w:rPr>
          <w:noProof/>
        </w:rPr>
        <w:fldChar w:fldCharType="end"/>
      </w:r>
      <w:bookmarkEnd w:id="16"/>
      <w:r>
        <w:tab/>
        <w:t>Traditional Owners i</w:t>
      </w:r>
      <w:r w:rsidRPr="00E90CBE">
        <w:t xml:space="preserve">nterpretive </w:t>
      </w:r>
      <w:r>
        <w:t>s</w:t>
      </w:r>
      <w:r w:rsidRPr="00E90CBE">
        <w:t>igns project</w:t>
      </w:r>
    </w:p>
    <w:p w14:paraId="3DE5C820" w14:textId="0CD5B4BA" w:rsidR="00F24776" w:rsidRPr="00093DCD" w:rsidRDefault="00F24776" w:rsidP="00F24776">
      <w:pPr>
        <w:pStyle w:val="Figuresource"/>
      </w:pPr>
      <w:r>
        <w:t xml:space="preserve">Source: </w:t>
      </w:r>
      <w:hyperlink r:id="rId12" w:history="1">
        <w:r w:rsidRPr="000E726C">
          <w:rPr>
            <w:rStyle w:val="Hyperlink"/>
            <w:sz w:val="20"/>
          </w:rPr>
          <w:t>www.maggolee.org.au/local-government-areas-view-by-list/port-phillip-city-council</w:t>
        </w:r>
      </w:hyperlink>
      <w:r>
        <w:t>, accessed 5 July 2018</w:t>
      </w:r>
    </w:p>
    <w:p w14:paraId="3F6806D6" w14:textId="5255A3DB" w:rsidR="005E56DD" w:rsidRPr="00BA2925" w:rsidRDefault="005E56DD" w:rsidP="00BA2925">
      <w:pPr>
        <w:pStyle w:val="list1"/>
        <w:numPr>
          <w:ilvl w:val="0"/>
          <w:numId w:val="5"/>
        </w:numPr>
      </w:pPr>
      <w:r w:rsidRPr="00BA2925">
        <w:lastRenderedPageBreak/>
        <w:t xml:space="preserve">St Kilda Town Hall </w:t>
      </w:r>
      <w:r w:rsidR="00BA2925">
        <w:t xml:space="preserve">is located </w:t>
      </w:r>
      <w:r w:rsidRPr="00BA2925">
        <w:t>on a natural spring and a former Boon Wurrung camp</w:t>
      </w:r>
    </w:p>
    <w:p w14:paraId="14DB0FC2" w14:textId="77777777" w:rsidR="005E56DD" w:rsidRPr="00BA2925" w:rsidRDefault="005E56DD" w:rsidP="00BA2925">
      <w:pPr>
        <w:pStyle w:val="list1"/>
        <w:numPr>
          <w:ilvl w:val="0"/>
          <w:numId w:val="5"/>
        </w:numPr>
      </w:pPr>
      <w:r w:rsidRPr="00BA2925">
        <w:t>St Kilda was known as Euro-Yroke, which means the ‘grinding stone place’, with the Esplanade once a stone quarry for tool making</w:t>
      </w:r>
    </w:p>
    <w:p w14:paraId="32F84FBB" w14:textId="4ADDC3B2" w:rsidR="005E56DD" w:rsidRPr="00BA2925" w:rsidRDefault="005E56DD" w:rsidP="00BA2925">
      <w:pPr>
        <w:pStyle w:val="list1"/>
        <w:numPr>
          <w:ilvl w:val="0"/>
          <w:numId w:val="5"/>
        </w:numPr>
      </w:pPr>
      <w:r w:rsidRPr="00BA2925">
        <w:t>Point Ormond Hill is a remnant of what was once a rocky headland used as an outlook and defensive location</w:t>
      </w:r>
    </w:p>
    <w:p w14:paraId="7B1792FE" w14:textId="0620D690" w:rsidR="005E56DD" w:rsidRPr="00CB48BE" w:rsidRDefault="005E56DD" w:rsidP="00BA2925">
      <w:pPr>
        <w:pStyle w:val="list1"/>
        <w:numPr>
          <w:ilvl w:val="0"/>
          <w:numId w:val="5"/>
        </w:numPr>
      </w:pPr>
      <w:r w:rsidRPr="00CB48BE">
        <w:t xml:space="preserve">The </w:t>
      </w:r>
      <w:r w:rsidR="00BA2925" w:rsidRPr="00CB48BE">
        <w:t xml:space="preserve">site of </w:t>
      </w:r>
      <w:r w:rsidRPr="00CB48BE">
        <w:t xml:space="preserve">South Melbourne Town Hall site was once </w:t>
      </w:r>
      <w:r w:rsidR="00BA2925" w:rsidRPr="00CB48BE">
        <w:t xml:space="preserve">a location for </w:t>
      </w:r>
      <w:r w:rsidRPr="00CB48BE">
        <w:t>ceremonies and trade.</w:t>
      </w:r>
    </w:p>
    <w:p w14:paraId="526F2736" w14:textId="1B7DF3A3" w:rsidR="005E56DD" w:rsidRPr="00CB48BE" w:rsidRDefault="00BA2925" w:rsidP="00BA2925">
      <w:pPr>
        <w:tabs>
          <w:tab w:val="clear" w:pos="284"/>
        </w:tabs>
        <w:spacing w:after="160" w:line="259" w:lineRule="auto"/>
      </w:pPr>
      <w:r w:rsidRPr="00CB48BE">
        <w:t xml:space="preserve">The CoPP’s commitment to engaging with TO groups, to ensure that </w:t>
      </w:r>
      <w:r w:rsidR="00CB48BE" w:rsidRPr="00CB48BE">
        <w:t xml:space="preserve">their </w:t>
      </w:r>
      <w:r w:rsidRPr="00CB48BE">
        <w:t xml:space="preserve">values and associations </w:t>
      </w:r>
      <w:r w:rsidR="00CB48BE" w:rsidRPr="00CB48BE">
        <w:t xml:space="preserve">for local places are recognised and protected, is reflected in its </w:t>
      </w:r>
      <w:r w:rsidR="005E56DD" w:rsidRPr="00CB48BE">
        <w:t>Planning Scheme Review Audit Report 2018</w:t>
      </w:r>
      <w:r w:rsidR="00CB48BE" w:rsidRPr="00CB48BE">
        <w:t xml:space="preserve">, which </w:t>
      </w:r>
      <w:r w:rsidR="005E56DD" w:rsidRPr="00CB48BE">
        <w:t>recommend</w:t>
      </w:r>
      <w:r w:rsidR="00CB48BE" w:rsidRPr="00CB48BE">
        <w:t>s</w:t>
      </w:r>
      <w:r w:rsidR="005E56DD" w:rsidRPr="00CB48BE">
        <w:t xml:space="preserve"> that Council update its planning policy in the M</w:t>
      </w:r>
      <w:r w:rsidR="00CB48BE" w:rsidRPr="00CB48BE">
        <w:t xml:space="preserve">unicipal Strategic Statement (MSS) to: </w:t>
      </w:r>
    </w:p>
    <w:p w14:paraId="0D403616" w14:textId="5A138E90" w:rsidR="005E56DD" w:rsidRPr="00CB48BE" w:rsidRDefault="00CB48BE" w:rsidP="00CB48BE">
      <w:pPr>
        <w:pStyle w:val="list1"/>
        <w:numPr>
          <w:ilvl w:val="0"/>
          <w:numId w:val="5"/>
        </w:numPr>
      </w:pPr>
      <w:r>
        <w:t>B</w:t>
      </w:r>
      <w:r w:rsidR="005E56DD" w:rsidRPr="00CB48BE">
        <w:t>etter reflect Council’s obligation to identify, assess and document places of historic, cultural and social significance</w:t>
      </w:r>
    </w:p>
    <w:p w14:paraId="736799F2" w14:textId="2DEDFFC8" w:rsidR="005E56DD" w:rsidRPr="00CB48BE" w:rsidRDefault="00CB48BE" w:rsidP="00CB48BE">
      <w:pPr>
        <w:pStyle w:val="list1"/>
        <w:numPr>
          <w:ilvl w:val="0"/>
          <w:numId w:val="5"/>
        </w:numPr>
      </w:pPr>
      <w:r>
        <w:t>S</w:t>
      </w:r>
      <w:r w:rsidR="005E56DD" w:rsidRPr="00CB48BE">
        <w:t>upport development that reflects Aboriginal values and urban design perspectives</w:t>
      </w:r>
    </w:p>
    <w:p w14:paraId="6889BC57" w14:textId="153AD5A6" w:rsidR="005E56DD" w:rsidRPr="00CB48BE" w:rsidRDefault="005E56DD" w:rsidP="00CB48BE">
      <w:pPr>
        <w:pStyle w:val="list1"/>
        <w:numPr>
          <w:ilvl w:val="0"/>
          <w:numId w:val="5"/>
        </w:numPr>
      </w:pPr>
      <w:r w:rsidRPr="00CB48BE">
        <w:t>Carry out a municipal Aboriginal cultural heritage study/strategy.</w:t>
      </w:r>
      <w:r w:rsidR="00CB48BE">
        <w:rPr>
          <w:rStyle w:val="FootnoteReference"/>
        </w:rPr>
        <w:footnoteReference w:id="8"/>
      </w:r>
    </w:p>
    <w:p w14:paraId="16E3530F" w14:textId="438F2B18" w:rsidR="00CB56F2" w:rsidRDefault="005E56DD" w:rsidP="00F24776">
      <w:pPr>
        <w:tabs>
          <w:tab w:val="clear" w:pos="284"/>
        </w:tabs>
        <w:spacing w:after="160" w:line="259" w:lineRule="auto"/>
      </w:pPr>
      <w:r w:rsidRPr="00CB48BE">
        <w:t>The metropolitan strategy</w:t>
      </w:r>
      <w:r w:rsidR="00CB48BE">
        <w:t xml:space="preserve">, </w:t>
      </w:r>
      <w:r w:rsidRPr="00CB48BE">
        <w:rPr>
          <w:i/>
        </w:rPr>
        <w:t>Plan Melbourne 2017-50</w:t>
      </w:r>
      <w:r w:rsidR="00CB48BE">
        <w:t xml:space="preserve">, also </w:t>
      </w:r>
      <w:r w:rsidRPr="00CB48BE">
        <w:t xml:space="preserve">provides policy support for development to celebrate </w:t>
      </w:r>
      <w:r w:rsidR="00F24776">
        <w:t>urban areas</w:t>
      </w:r>
      <w:r w:rsidRPr="00CB48BE">
        <w:t xml:space="preserve"> as </w:t>
      </w:r>
      <w:r w:rsidR="00CB48BE">
        <w:t>I</w:t>
      </w:r>
      <w:r w:rsidRPr="00CB48BE">
        <w:t>ndigenous places</w:t>
      </w:r>
      <w:r w:rsidR="00CB56F2">
        <w:t xml:space="preserve">.  Policy 4.4.4, ‘Protect Melbourne’s heritage through telling its stories’ notes that: </w:t>
      </w:r>
    </w:p>
    <w:p w14:paraId="6C6F583E" w14:textId="065ACB94" w:rsidR="00CB56F2" w:rsidRDefault="00CB56F2" w:rsidP="00CB56F2">
      <w:pPr>
        <w:pStyle w:val="Quotation"/>
      </w:pPr>
      <w:r>
        <w:t>There is more to heritage than place.  The stories of Melbourne—including stories from before European settlement—help citizens understand the places where they live and work. They also help create a sense of belonging and community by encouraging tolerance and respect.</w:t>
      </w:r>
      <w:r>
        <w:rPr>
          <w:rStyle w:val="FootnoteReference"/>
        </w:rPr>
        <w:footnoteReference w:id="9"/>
      </w:r>
    </w:p>
    <w:p w14:paraId="6FFEB91D" w14:textId="585BA0BE" w:rsidR="00F24776" w:rsidRDefault="00CB56F2" w:rsidP="00F24776">
      <w:pPr>
        <w:tabs>
          <w:tab w:val="clear" w:pos="284"/>
        </w:tabs>
        <w:spacing w:after="160" w:line="259" w:lineRule="auto"/>
      </w:pPr>
      <w:r>
        <w:t xml:space="preserve">While </w:t>
      </w:r>
      <w:r w:rsidRPr="00CB48BE">
        <w:t>Policy 4.3.1</w:t>
      </w:r>
      <w:r>
        <w:t xml:space="preserve"> ‘Promote urban design excellence in every aspect of the built environment’ supports the development of </w:t>
      </w:r>
      <w:r w:rsidR="005E56DD" w:rsidRPr="00CB48BE">
        <w:t>innovative ways to tell Melbourne’s pre-contact heritage stories, through promoting the inclusion of Aboriginal urban design perspectives in new development the arts, interpretive infrastructure, and cultural projects.</w:t>
      </w:r>
      <w:r>
        <w:t xml:space="preserve"> </w:t>
      </w:r>
    </w:p>
    <w:p w14:paraId="40722E14" w14:textId="60B1DE44" w:rsidR="005E56DD" w:rsidRPr="00F24776" w:rsidRDefault="005E56DD" w:rsidP="00F24776">
      <w:pPr>
        <w:tabs>
          <w:tab w:val="clear" w:pos="284"/>
        </w:tabs>
        <w:spacing w:after="160" w:line="259" w:lineRule="auto"/>
      </w:pPr>
      <w:r w:rsidRPr="00F73CF7">
        <w:t xml:space="preserve">Aboriginal cultural values can be found in places of memory, ceremony and spirituality, stories and landmarks, archaeological sites, natural waterways and landforms and scarred trees. </w:t>
      </w:r>
      <w:r w:rsidR="00CB56F2" w:rsidRPr="00F73CF7">
        <w:t xml:space="preserve"> </w:t>
      </w:r>
      <w:r w:rsidRPr="00F73CF7">
        <w:t>These values and perspectives can be adapted into the</w:t>
      </w:r>
      <w:r w:rsidR="00CB56F2" w:rsidRPr="00F73CF7">
        <w:t xml:space="preserve"> contemporary </w:t>
      </w:r>
      <w:r w:rsidRPr="00F73CF7">
        <w:t>environment</w:t>
      </w:r>
      <w:r w:rsidR="00CB56F2" w:rsidRPr="00F73CF7">
        <w:t xml:space="preserve"> </w:t>
      </w:r>
      <w:r w:rsidRPr="00F73CF7">
        <w:t>through</w:t>
      </w:r>
      <w:r w:rsidR="00CB56F2" w:rsidRPr="00F73CF7">
        <w:t xml:space="preserve"> creative</w:t>
      </w:r>
      <w:r w:rsidRPr="00F73CF7">
        <w:t xml:space="preserve"> expression</w:t>
      </w:r>
      <w:r w:rsidR="00CB56F2" w:rsidRPr="00F73CF7">
        <w:t xml:space="preserve"> and </w:t>
      </w:r>
      <w:r w:rsidRPr="00F73CF7">
        <w:t xml:space="preserve">landscape design. </w:t>
      </w:r>
      <w:r w:rsidR="00CB56F2" w:rsidRPr="00F73CF7">
        <w:t xml:space="preserve"> </w:t>
      </w:r>
      <w:r w:rsidRPr="00F73CF7">
        <w:t xml:space="preserve">Other outcomes </w:t>
      </w:r>
      <w:r w:rsidR="00CB56F2" w:rsidRPr="00F73CF7">
        <w:t>may</w:t>
      </w:r>
      <w:r w:rsidRPr="00F73CF7">
        <w:t xml:space="preserve"> be more interactive, through the creation of public meeting and ceremonial spaces, cultural facilities and interpretive signage. </w:t>
      </w:r>
    </w:p>
    <w:p w14:paraId="439E5B58" w14:textId="77777777" w:rsidR="006064D5" w:rsidRDefault="006064D5" w:rsidP="006064D5">
      <w:pPr>
        <w:pStyle w:val="Heading3"/>
        <w:tabs>
          <w:tab w:val="clear" w:pos="2128"/>
        </w:tabs>
        <w:ind w:left="851"/>
      </w:pPr>
      <w:bookmarkStart w:id="17" w:name="_Toc522766138"/>
      <w:r>
        <w:t>Consultation fatigue</w:t>
      </w:r>
      <w:bookmarkEnd w:id="17"/>
    </w:p>
    <w:p w14:paraId="2D231955" w14:textId="0A1DE147" w:rsidR="00C24D29" w:rsidRDefault="00C24D29" w:rsidP="00322143">
      <w:bookmarkStart w:id="18" w:name="_Hlk518559065"/>
      <w:r w:rsidRPr="00C24D29">
        <w:t xml:space="preserve">The potential for ‘consultation fatigue’ was identified as a </w:t>
      </w:r>
      <w:r w:rsidR="00FC1C2F">
        <w:t>possible</w:t>
      </w:r>
      <w:r w:rsidRPr="00C24D29">
        <w:t xml:space="preserve"> constraint/challenge by CoPP at the inception stage, recognising that public engagement initiatives are regularly undertaken by Council</w:t>
      </w:r>
      <w:r w:rsidR="00561D77">
        <w:t>.</w:t>
      </w:r>
      <w:r w:rsidR="00561D77">
        <w:rPr>
          <w:rStyle w:val="FootnoteReference"/>
        </w:rPr>
        <w:footnoteReference w:id="10"/>
      </w:r>
      <w:r w:rsidR="00561D77">
        <w:t xml:space="preserve">  </w:t>
      </w:r>
      <w:r w:rsidR="00535821" w:rsidRPr="00535821">
        <w:t>It was</w:t>
      </w:r>
      <w:r w:rsidR="00535821" w:rsidRPr="00941BF1">
        <w:t xml:space="preserve"> also recognised that public consultation for the </w:t>
      </w:r>
      <w:r w:rsidR="00535821" w:rsidRPr="00535821">
        <w:t>H06 precinct in St Kilda East was concurrent with the campaign.</w:t>
      </w:r>
    </w:p>
    <w:p w14:paraId="21B4ADF0" w14:textId="5A4B04D8" w:rsidR="009A6DDF" w:rsidRDefault="009A6DDF" w:rsidP="00322143">
      <w:r>
        <w:t>It is possible that these factors contributed to the relatively low number of responses to the ‘Heritage</w:t>
      </w:r>
      <w:r w:rsidR="00861EC9">
        <w:t xml:space="preserve"> – </w:t>
      </w:r>
      <w:r>
        <w:t xml:space="preserve">Here and Now’ </w:t>
      </w:r>
      <w:r w:rsidR="00861EC9">
        <w:t xml:space="preserve">online </w:t>
      </w:r>
      <w:r w:rsidR="00861EC9" w:rsidRPr="00790E70">
        <w:t>survey</w:t>
      </w:r>
      <w:r w:rsidRPr="00790E70">
        <w:t xml:space="preserve"> (217).  </w:t>
      </w:r>
      <w:r w:rsidR="00870FF4" w:rsidRPr="00790E70">
        <w:t>This was</w:t>
      </w:r>
      <w:r w:rsidR="001A5A5A" w:rsidRPr="00790E70">
        <w:t xml:space="preserve">, however, </w:t>
      </w:r>
      <w:r w:rsidR="00870FF4" w:rsidRPr="00790E70">
        <w:t xml:space="preserve">balanced by the high level of responses to the </w:t>
      </w:r>
      <w:r w:rsidR="00870FF4" w:rsidRPr="00790E70">
        <w:lastRenderedPageBreak/>
        <w:t>targeted engagement methods, including the three ‘pop-ups’ a</w:t>
      </w:r>
      <w:r w:rsidR="00870FF4" w:rsidRPr="00790E70">
        <w:rPr>
          <w:rStyle w:val="normaltextrun1"/>
        </w:rPr>
        <w:t>nd meetings with stakeholder</w:t>
      </w:r>
      <w:r w:rsidR="00225F8A" w:rsidRPr="00790E70">
        <w:rPr>
          <w:rStyle w:val="normaltextrun1"/>
        </w:rPr>
        <w:t>s (</w:t>
      </w:r>
      <w:r w:rsidR="00790E70" w:rsidRPr="00790E70">
        <w:rPr>
          <w:rStyle w:val="normaltextrun1"/>
        </w:rPr>
        <w:t xml:space="preserve">approximately </w:t>
      </w:r>
      <w:r w:rsidR="001A5A5A" w:rsidRPr="00790E70">
        <w:rPr>
          <w:rStyle w:val="normaltextrun1"/>
        </w:rPr>
        <w:t xml:space="preserve">60) – </w:t>
      </w:r>
      <w:r w:rsidR="00870FF4" w:rsidRPr="00790E70">
        <w:rPr>
          <w:rStyle w:val="normaltextrun1"/>
        </w:rPr>
        <w:t xml:space="preserve">see Section </w:t>
      </w:r>
      <w:r w:rsidR="00870FF4" w:rsidRPr="00790E70">
        <w:rPr>
          <w:rStyle w:val="normaltextrun1"/>
        </w:rPr>
        <w:fldChar w:fldCharType="begin"/>
      </w:r>
      <w:r w:rsidR="00870FF4" w:rsidRPr="00790E70">
        <w:rPr>
          <w:rStyle w:val="normaltextrun1"/>
        </w:rPr>
        <w:instrText xml:space="preserve"> REF _Ref518914845 \r \h  \* MERGEFORMAT </w:instrText>
      </w:r>
      <w:r w:rsidR="00870FF4" w:rsidRPr="00790E70">
        <w:rPr>
          <w:rStyle w:val="normaltextrun1"/>
        </w:rPr>
      </w:r>
      <w:r w:rsidR="00870FF4" w:rsidRPr="00790E70">
        <w:rPr>
          <w:rStyle w:val="normaltextrun1"/>
        </w:rPr>
        <w:fldChar w:fldCharType="separate"/>
      </w:r>
      <w:r w:rsidR="003E105F">
        <w:rPr>
          <w:rStyle w:val="normaltextrun1"/>
        </w:rPr>
        <w:t>2.1</w:t>
      </w:r>
      <w:r w:rsidR="00870FF4" w:rsidRPr="00790E70">
        <w:rPr>
          <w:rStyle w:val="normaltextrun1"/>
        </w:rPr>
        <w:fldChar w:fldCharType="end"/>
      </w:r>
      <w:r w:rsidR="001A5A5A" w:rsidRPr="00790E70">
        <w:rPr>
          <w:rStyle w:val="normaltextrun1"/>
        </w:rPr>
        <w:t xml:space="preserve"> and Appendix C</w:t>
      </w:r>
      <w:r w:rsidR="00225F8A" w:rsidRPr="00790E70">
        <w:rPr>
          <w:rStyle w:val="normaltextrun1"/>
        </w:rPr>
        <w:t>.</w:t>
      </w:r>
      <w:r w:rsidR="00225F8A">
        <w:rPr>
          <w:rStyle w:val="normaltextrun1"/>
        </w:rPr>
        <w:t xml:space="preserve">  </w:t>
      </w:r>
    </w:p>
    <w:p w14:paraId="10A45ECE" w14:textId="36669499" w:rsidR="00322143" w:rsidRPr="00322143" w:rsidRDefault="00535821" w:rsidP="00322143">
      <w:pPr>
        <w:rPr>
          <w:rStyle w:val="normaltextrun1"/>
        </w:rPr>
      </w:pPr>
      <w:r>
        <w:t>M</w:t>
      </w:r>
      <w:r w:rsidR="00F37AFE">
        <w:t xml:space="preserve">eetings with </w:t>
      </w:r>
      <w:r w:rsidR="00DE6452">
        <w:t xml:space="preserve">individuals </w:t>
      </w:r>
      <w:r>
        <w:t xml:space="preserve">involved in </w:t>
      </w:r>
      <w:r w:rsidR="00F37AFE">
        <w:t>heritage</w:t>
      </w:r>
      <w:r>
        <w:t xml:space="preserve"> (including representatives of historical societies) and </w:t>
      </w:r>
      <w:r w:rsidR="00F37AFE">
        <w:t xml:space="preserve">arts and culture </w:t>
      </w:r>
      <w:r>
        <w:t>groups</w:t>
      </w:r>
      <w:r w:rsidR="00F37AFE">
        <w:t xml:space="preserve"> </w:t>
      </w:r>
      <w:r>
        <w:t>revealed</w:t>
      </w:r>
      <w:r w:rsidR="00F37AFE">
        <w:t xml:space="preserve"> levels of frustration rather than fatigue</w:t>
      </w:r>
      <w:r w:rsidR="00EC0730">
        <w:t xml:space="preserve">, generally </w:t>
      </w:r>
      <w:r w:rsidR="00F37AFE">
        <w:t xml:space="preserve">related to </w:t>
      </w:r>
      <w:r w:rsidR="00EC0730">
        <w:t xml:space="preserve">previous </w:t>
      </w:r>
      <w:r w:rsidR="00EC0730" w:rsidRPr="00322143">
        <w:rPr>
          <w:rStyle w:val="normaltextrun1"/>
        </w:rPr>
        <w:t xml:space="preserve">initiatives </w:t>
      </w:r>
      <w:r w:rsidRPr="00322143">
        <w:rPr>
          <w:rStyle w:val="normaltextrun1"/>
        </w:rPr>
        <w:t xml:space="preserve">to secure </w:t>
      </w:r>
      <w:r w:rsidR="00F37AFE" w:rsidRPr="00322143">
        <w:rPr>
          <w:rStyle w:val="normaltextrun1"/>
        </w:rPr>
        <w:t>funding and other forms of support</w:t>
      </w:r>
      <w:r w:rsidRPr="00322143">
        <w:rPr>
          <w:rStyle w:val="normaltextrun1"/>
        </w:rPr>
        <w:t xml:space="preserve"> for conservation and arts-related projects</w:t>
      </w:r>
      <w:r w:rsidR="00AB0466" w:rsidRPr="00322143">
        <w:rPr>
          <w:rStyle w:val="normaltextrun1"/>
        </w:rPr>
        <w:t xml:space="preserve">.  It is possible that </w:t>
      </w:r>
      <w:r w:rsidR="00470C63">
        <w:rPr>
          <w:rStyle w:val="normaltextrun1"/>
        </w:rPr>
        <w:t xml:space="preserve">this </w:t>
      </w:r>
      <w:r w:rsidR="00AB0466" w:rsidRPr="00322143">
        <w:rPr>
          <w:rStyle w:val="normaltextrun1"/>
        </w:rPr>
        <w:t xml:space="preserve">compromised the level of objectiveness in comments received.  </w:t>
      </w:r>
      <w:r w:rsidR="00EC0730" w:rsidRPr="00322143">
        <w:rPr>
          <w:rStyle w:val="normaltextrun1"/>
        </w:rPr>
        <w:t>A number of the parties that contributed to the campaign also expressed</w:t>
      </w:r>
      <w:r w:rsidR="0041059D" w:rsidRPr="00322143">
        <w:rPr>
          <w:rStyle w:val="normaltextrun1"/>
        </w:rPr>
        <w:t xml:space="preserve"> an </w:t>
      </w:r>
      <w:r w:rsidR="00EC0730" w:rsidRPr="00322143">
        <w:rPr>
          <w:rStyle w:val="normaltextrun1"/>
        </w:rPr>
        <w:t>interest in understanding how the outcomes of the consultation would be use</w:t>
      </w:r>
      <w:r w:rsidR="00AB0466" w:rsidRPr="00322143">
        <w:rPr>
          <w:rStyle w:val="normaltextrun1"/>
        </w:rPr>
        <w:t xml:space="preserve">d.  </w:t>
      </w:r>
    </w:p>
    <w:p w14:paraId="4111BFA3" w14:textId="730F2B9C" w:rsidR="00F37AFE" w:rsidRPr="00322143" w:rsidRDefault="00F37AFE" w:rsidP="00322143">
      <w:pPr>
        <w:rPr>
          <w:rStyle w:val="normaltextrun1"/>
          <w:lang w:eastAsia="en-AU"/>
        </w:rPr>
      </w:pPr>
      <w:r w:rsidRPr="00322143">
        <w:rPr>
          <w:rStyle w:val="normaltextrun1"/>
        </w:rPr>
        <w:t xml:space="preserve">During the </w:t>
      </w:r>
      <w:r w:rsidR="00535821" w:rsidRPr="00322143">
        <w:rPr>
          <w:rStyle w:val="normaltextrun1"/>
        </w:rPr>
        <w:t xml:space="preserve">three </w:t>
      </w:r>
      <w:r w:rsidR="00C43D4C" w:rsidRPr="00322143">
        <w:rPr>
          <w:rStyle w:val="normaltextrun1"/>
        </w:rPr>
        <w:t>‘</w:t>
      </w:r>
      <w:r w:rsidRPr="00322143">
        <w:rPr>
          <w:rStyle w:val="normaltextrun1"/>
        </w:rPr>
        <w:t>pop</w:t>
      </w:r>
      <w:r w:rsidR="00C43D4C" w:rsidRPr="00322143">
        <w:rPr>
          <w:rStyle w:val="normaltextrun1"/>
        </w:rPr>
        <w:t>-</w:t>
      </w:r>
      <w:r w:rsidRPr="00322143">
        <w:rPr>
          <w:rStyle w:val="normaltextrun1"/>
        </w:rPr>
        <w:t>ups</w:t>
      </w:r>
      <w:r w:rsidR="00C43D4C" w:rsidRPr="00322143">
        <w:rPr>
          <w:rStyle w:val="normaltextrun1"/>
        </w:rPr>
        <w:t>’</w:t>
      </w:r>
      <w:r w:rsidR="00535821" w:rsidRPr="00322143">
        <w:rPr>
          <w:rStyle w:val="normaltextrun1"/>
        </w:rPr>
        <w:t xml:space="preserve"> (see</w:t>
      </w:r>
      <w:r w:rsidR="00FC1C2F" w:rsidRPr="00322143">
        <w:rPr>
          <w:rStyle w:val="normaltextrun1"/>
        </w:rPr>
        <w:t xml:space="preserve"> Section </w:t>
      </w:r>
      <w:r w:rsidR="00FC1C2F" w:rsidRPr="00322143">
        <w:rPr>
          <w:rStyle w:val="normaltextrun1"/>
        </w:rPr>
        <w:fldChar w:fldCharType="begin"/>
      </w:r>
      <w:r w:rsidR="00FC1C2F" w:rsidRPr="00322143">
        <w:rPr>
          <w:rStyle w:val="normaltextrun1"/>
        </w:rPr>
        <w:instrText xml:space="preserve"> REF _Ref518914845 \r \h </w:instrText>
      </w:r>
      <w:r w:rsidR="00322143" w:rsidRPr="00322143">
        <w:rPr>
          <w:rStyle w:val="normaltextrun1"/>
        </w:rPr>
        <w:instrText xml:space="preserve"> \* MERGEFORMAT </w:instrText>
      </w:r>
      <w:r w:rsidR="00FC1C2F" w:rsidRPr="00322143">
        <w:rPr>
          <w:rStyle w:val="normaltextrun1"/>
        </w:rPr>
      </w:r>
      <w:r w:rsidR="00FC1C2F" w:rsidRPr="00322143">
        <w:rPr>
          <w:rStyle w:val="normaltextrun1"/>
        </w:rPr>
        <w:fldChar w:fldCharType="separate"/>
      </w:r>
      <w:r w:rsidR="003E105F">
        <w:rPr>
          <w:rStyle w:val="normaltextrun1"/>
        </w:rPr>
        <w:t>2.1</w:t>
      </w:r>
      <w:r w:rsidR="00FC1C2F" w:rsidRPr="00322143">
        <w:rPr>
          <w:rStyle w:val="normaltextrun1"/>
        </w:rPr>
        <w:fldChar w:fldCharType="end"/>
      </w:r>
      <w:r w:rsidR="00535821" w:rsidRPr="00322143">
        <w:rPr>
          <w:rStyle w:val="normaltextrun1"/>
        </w:rPr>
        <w:t>)</w:t>
      </w:r>
      <w:r w:rsidRPr="00322143">
        <w:rPr>
          <w:rStyle w:val="normaltextrun1"/>
        </w:rPr>
        <w:t>, the pub</w:t>
      </w:r>
      <w:r w:rsidR="00535821" w:rsidRPr="00322143">
        <w:rPr>
          <w:rStyle w:val="normaltextrun1"/>
        </w:rPr>
        <w:t>l</w:t>
      </w:r>
      <w:r w:rsidRPr="00322143">
        <w:rPr>
          <w:rStyle w:val="normaltextrun1"/>
        </w:rPr>
        <w:t xml:space="preserve">ic were generally positive about the </w:t>
      </w:r>
      <w:r w:rsidR="00EC0730" w:rsidRPr="00322143">
        <w:rPr>
          <w:rStyle w:val="normaltextrun1"/>
        </w:rPr>
        <w:t>campaign</w:t>
      </w:r>
      <w:r w:rsidR="00FC1C2F" w:rsidRPr="00322143">
        <w:rPr>
          <w:rStyle w:val="normaltextrun1"/>
        </w:rPr>
        <w:t>, wi</w:t>
      </w:r>
      <w:r w:rsidR="00E90CBE" w:rsidRPr="00322143">
        <w:rPr>
          <w:rStyle w:val="normaltextrun1"/>
        </w:rPr>
        <w:t xml:space="preserve">th the exception of </w:t>
      </w:r>
      <w:r w:rsidR="00EA772E" w:rsidRPr="00322143">
        <w:rPr>
          <w:rStyle w:val="normaltextrun1"/>
        </w:rPr>
        <w:t xml:space="preserve">some </w:t>
      </w:r>
      <w:r w:rsidRPr="00322143">
        <w:rPr>
          <w:rStyle w:val="normaltextrun1"/>
        </w:rPr>
        <w:t xml:space="preserve">comments about the demolition of the </w:t>
      </w:r>
      <w:r w:rsidR="00E90CBE" w:rsidRPr="00322143">
        <w:rPr>
          <w:rStyle w:val="normaltextrun1"/>
        </w:rPr>
        <w:t xml:space="preserve">London and Greyhound </w:t>
      </w:r>
      <w:r w:rsidRPr="00322143">
        <w:rPr>
          <w:rStyle w:val="normaltextrun1"/>
        </w:rPr>
        <w:t>hotels</w:t>
      </w:r>
      <w:r w:rsidR="00C43D4C" w:rsidRPr="00322143">
        <w:rPr>
          <w:rStyle w:val="normaltextrun1"/>
        </w:rPr>
        <w:t xml:space="preserve"> in 2017</w:t>
      </w:r>
      <w:r w:rsidRPr="00322143">
        <w:rPr>
          <w:rStyle w:val="normaltextrun1"/>
        </w:rPr>
        <w:t xml:space="preserve">. </w:t>
      </w:r>
    </w:p>
    <w:p w14:paraId="60F1A110" w14:textId="5D6700D4" w:rsidR="00D5454E" w:rsidRPr="00D5454E" w:rsidRDefault="00D5454E" w:rsidP="00D5454E">
      <w:pPr>
        <w:pStyle w:val="Heading3"/>
        <w:tabs>
          <w:tab w:val="clear" w:pos="2128"/>
        </w:tabs>
        <w:ind w:left="851"/>
      </w:pPr>
      <w:bookmarkStart w:id="19" w:name="_Ref522553302"/>
      <w:bookmarkStart w:id="20" w:name="_Toc522766139"/>
      <w:r w:rsidRPr="00D5454E">
        <w:t>Survey technology</w:t>
      </w:r>
      <w:r w:rsidR="00EC6E31">
        <w:t xml:space="preserve"> and data analysis</w:t>
      </w:r>
      <w:bookmarkEnd w:id="19"/>
      <w:bookmarkEnd w:id="20"/>
      <w:r w:rsidR="00EC6E31">
        <w:t xml:space="preserve"> </w:t>
      </w:r>
    </w:p>
    <w:p w14:paraId="30BCBC47" w14:textId="320524EE" w:rsidR="008B291D" w:rsidRDefault="00EC6E31" w:rsidP="00D5454E">
      <w:pPr>
        <w:pStyle w:val="list1"/>
        <w:numPr>
          <w:ilvl w:val="0"/>
          <w:numId w:val="0"/>
        </w:numPr>
      </w:pPr>
      <w:r>
        <w:t xml:space="preserve">The </w:t>
      </w:r>
      <w:r w:rsidR="006A2FFD">
        <w:t xml:space="preserve">variety of </w:t>
      </w:r>
      <w:r>
        <w:t xml:space="preserve">media used for the project presented different challenges, both in terms of the nature of the data generated and an ability to analyse it.  </w:t>
      </w:r>
      <w:r w:rsidR="00387A20">
        <w:t xml:space="preserve">For instance, </w:t>
      </w:r>
      <w:r w:rsidR="00606A62">
        <w:t>the aspiration for people to engage with the campaign was behind the decision to avoid technical language and to ask some very broad questions, leading to suggestions of ‘dumbing down’ by some.  Further, t</w:t>
      </w:r>
      <w:r>
        <w:t xml:space="preserve">he format adopted for the online survey had limited capacity to provide an engaging, interactive experience </w:t>
      </w:r>
      <w:r w:rsidR="00387A20">
        <w:t>for</w:t>
      </w:r>
      <w:r>
        <w:t xml:space="preserve"> end</w:t>
      </w:r>
      <w:r w:rsidR="00387A20">
        <w:t>-</w:t>
      </w:r>
      <w:r>
        <w:t>users</w:t>
      </w:r>
      <w:r w:rsidR="00A42286">
        <w:t xml:space="preserve">, creating </w:t>
      </w:r>
      <w:r w:rsidR="000225EB">
        <w:t xml:space="preserve">generally </w:t>
      </w:r>
      <w:r w:rsidR="00A42286">
        <w:t>quantitative data</w:t>
      </w:r>
      <w:r w:rsidR="00606A62">
        <w:t>.  S</w:t>
      </w:r>
      <w:r w:rsidR="00387A20">
        <w:t xml:space="preserve">ocial media channels </w:t>
      </w:r>
      <w:r w:rsidR="00606A62">
        <w:t xml:space="preserve">used for the campaign </w:t>
      </w:r>
      <w:r w:rsidR="00387A20">
        <w:t xml:space="preserve">generated </w:t>
      </w:r>
      <w:r w:rsidR="00730464">
        <w:t xml:space="preserve">a percentage of </w:t>
      </w:r>
      <w:r w:rsidR="00387A20">
        <w:t xml:space="preserve">negative comments about Council, with </w:t>
      </w:r>
      <w:r w:rsidR="001514C7">
        <w:t xml:space="preserve">some </w:t>
      </w:r>
      <w:r w:rsidR="00387A20">
        <w:t xml:space="preserve">community members still disgruntled about the demolition of the Greyhound and London hotels.  At the other end of the spectrum, </w:t>
      </w:r>
      <w:r w:rsidR="006A2FFD">
        <w:t>it proved challenging to set up comparative frameworks for cross-referencing the valuable qualitative data generated by t</w:t>
      </w:r>
      <w:r w:rsidR="00387A20">
        <w:t xml:space="preserve">he face-to-face meetings </w:t>
      </w:r>
      <w:r w:rsidR="00730464">
        <w:t xml:space="preserve">with the quantitative outcomes of the survey. </w:t>
      </w:r>
    </w:p>
    <w:p w14:paraId="40DE6870" w14:textId="6B46B48F" w:rsidR="007D46DC" w:rsidRDefault="007D46DC" w:rsidP="007D46DC">
      <w:pPr>
        <w:pStyle w:val="list1"/>
        <w:numPr>
          <w:ilvl w:val="0"/>
          <w:numId w:val="0"/>
        </w:numPr>
      </w:pPr>
      <w:r>
        <w:t xml:space="preserve">Some of these challenges are revealed by the ‘Register of Places, Elements and Attributes Identified During Stage 1’ (Appendix D).  This spreadsheet is a compilation of places </w:t>
      </w:r>
      <w:r w:rsidR="007C15CF">
        <w:t>that were identified as being valued by at least one member of the community during the campaign, including through the survey, meetings and the pop-ups.  The outcome</w:t>
      </w:r>
      <w:r w:rsidR="001514C7">
        <w:t>s</w:t>
      </w:r>
      <w:r w:rsidR="007C15CF">
        <w:t xml:space="preserve"> provide valuable insights into the types of places that are</w:t>
      </w:r>
      <w:r w:rsidR="001514C7">
        <w:t xml:space="preserve">, and are not, </w:t>
      </w:r>
      <w:r w:rsidR="007C15CF">
        <w:t xml:space="preserve">valued by the community, and a rich source of information to </w:t>
      </w:r>
      <w:r w:rsidR="001514C7">
        <w:t>‘min</w:t>
      </w:r>
      <w:r w:rsidR="007C15CF">
        <w:t>e</w:t>
      </w:r>
      <w:r w:rsidR="001514C7">
        <w:t>’</w:t>
      </w:r>
      <w:r w:rsidR="007C15CF">
        <w:t xml:space="preserve"> (see Section </w:t>
      </w:r>
      <w:r w:rsidR="007C15CF">
        <w:fldChar w:fldCharType="begin"/>
      </w:r>
      <w:r w:rsidR="007C15CF">
        <w:instrText xml:space="preserve"> REF _Ref517776531 \r \h </w:instrText>
      </w:r>
      <w:r w:rsidR="007C15CF">
        <w:fldChar w:fldCharType="separate"/>
      </w:r>
      <w:r w:rsidR="003E105F">
        <w:t>6.0</w:t>
      </w:r>
      <w:r w:rsidR="007C15CF">
        <w:fldChar w:fldCharType="end"/>
      </w:r>
      <w:r w:rsidR="007C15CF">
        <w:t xml:space="preserve">).  However, the limitations of Appendix D should also be recognised, including </w:t>
      </w:r>
      <w:r w:rsidR="001514C7">
        <w:t>the fact that a single reference was the threshold for inclusion in the list</w:t>
      </w:r>
      <w:r w:rsidR="000225EB">
        <w:t xml:space="preserve">.  As a consequence, </w:t>
      </w:r>
      <w:r w:rsidR="001514C7">
        <w:t>the list include</w:t>
      </w:r>
      <w:r w:rsidR="00A42286">
        <w:t>s</w:t>
      </w:r>
      <w:r w:rsidR="001514C7">
        <w:t xml:space="preserve"> places that are valued by individual</w:t>
      </w:r>
      <w:r w:rsidR="000225EB">
        <w:t xml:space="preserve">s </w:t>
      </w:r>
      <w:r w:rsidR="001514C7">
        <w:t>as opposed to groups or communities</w:t>
      </w:r>
      <w:r w:rsidR="000225EB">
        <w:t xml:space="preserve">, which is contrary to accepted definitions of social value (see Section </w:t>
      </w:r>
      <w:r w:rsidR="000225EB">
        <w:fldChar w:fldCharType="begin"/>
      </w:r>
      <w:r w:rsidR="000225EB">
        <w:instrText xml:space="preserve"> REF _Ref518986807 \r \h </w:instrText>
      </w:r>
      <w:r w:rsidR="000225EB">
        <w:fldChar w:fldCharType="separate"/>
      </w:r>
      <w:r w:rsidR="003E105F">
        <w:t>5.0</w:t>
      </w:r>
      <w:r w:rsidR="000225EB">
        <w:fldChar w:fldCharType="end"/>
      </w:r>
      <w:r w:rsidR="000225EB">
        <w:t>) as well as lacking rigour and scientific precision</w:t>
      </w:r>
      <w:r w:rsidR="001514C7">
        <w:t xml:space="preserve">.  There are also discrepancies and inconsistencies in terms of place names and spellings.  </w:t>
      </w:r>
      <w:r w:rsidR="001B0CC6">
        <w:t xml:space="preserve">These issues are discussed further at Section </w:t>
      </w:r>
      <w:r w:rsidR="001B0CC6">
        <w:fldChar w:fldCharType="begin"/>
      </w:r>
      <w:r w:rsidR="001B0CC6">
        <w:instrText xml:space="preserve"> REF _Ref517776531 \r \h </w:instrText>
      </w:r>
      <w:r w:rsidR="001B0CC6">
        <w:fldChar w:fldCharType="separate"/>
      </w:r>
      <w:r w:rsidR="003E105F">
        <w:t>6.0</w:t>
      </w:r>
      <w:r w:rsidR="001B0CC6">
        <w:fldChar w:fldCharType="end"/>
      </w:r>
      <w:r w:rsidR="001B0CC6">
        <w:t xml:space="preserve">. </w:t>
      </w:r>
    </w:p>
    <w:p w14:paraId="238DD91B" w14:textId="1F0E80D8" w:rsidR="000225EB" w:rsidRDefault="000225EB" w:rsidP="007D46DC">
      <w:pPr>
        <w:pStyle w:val="list1"/>
        <w:numPr>
          <w:ilvl w:val="0"/>
          <w:numId w:val="0"/>
        </w:numPr>
      </w:pPr>
      <w:r w:rsidRPr="00D5454E">
        <w:t xml:space="preserve">Limitations associated with the survey technology are </w:t>
      </w:r>
      <w:r w:rsidR="001B0CC6">
        <w:t xml:space="preserve">also </w:t>
      </w:r>
      <w:r w:rsidRPr="00D5454E">
        <w:t>addressed in Appendix C ‘Heritage Program, Stage 1, Consultation Report</w:t>
      </w:r>
      <w:r>
        <w:t>, Section 4.4</w:t>
      </w:r>
      <w:r w:rsidRPr="00D5454E">
        <w:t xml:space="preserve">’.  </w:t>
      </w:r>
    </w:p>
    <w:p w14:paraId="2FC174F2" w14:textId="77777777" w:rsidR="00AB44A3" w:rsidRDefault="00AB44A3" w:rsidP="00AB44A3">
      <w:pPr>
        <w:pStyle w:val="Heading1"/>
        <w:ind w:left="0" w:firstLine="0"/>
        <w:rPr>
          <w:bCs/>
        </w:rPr>
      </w:pPr>
      <w:bookmarkStart w:id="21" w:name="_Toc522766140"/>
      <w:bookmarkEnd w:id="10"/>
      <w:bookmarkEnd w:id="11"/>
      <w:bookmarkEnd w:id="18"/>
      <w:r>
        <w:rPr>
          <w:bCs/>
        </w:rPr>
        <w:t>Sources</w:t>
      </w:r>
      <w:bookmarkEnd w:id="21"/>
    </w:p>
    <w:p w14:paraId="2BB02A74" w14:textId="445E4EE7" w:rsidR="00FC0D63" w:rsidRPr="00FC0D63" w:rsidRDefault="00FC0D63" w:rsidP="00FC0D63">
      <w:pPr>
        <w:pStyle w:val="list1"/>
        <w:numPr>
          <w:ilvl w:val="0"/>
          <w:numId w:val="0"/>
        </w:numPr>
        <w:tabs>
          <w:tab w:val="left" w:pos="720"/>
        </w:tabs>
      </w:pPr>
      <w:r w:rsidRPr="00FC0D63">
        <w:t xml:space="preserve">The following provides an overview of key sources referenced in the preparation of this report.  Analysis and interpretation of the consultation and research undertaken for this stage of the project is at Section </w:t>
      </w:r>
      <w:r w:rsidRPr="00FC0D63">
        <w:fldChar w:fldCharType="begin"/>
      </w:r>
      <w:r w:rsidRPr="00FC0D63">
        <w:instrText xml:space="preserve"> REF _Ref517776531 \r \h  \* MERGEFORMAT </w:instrText>
      </w:r>
      <w:r w:rsidRPr="00FC0D63">
        <w:fldChar w:fldCharType="separate"/>
      </w:r>
      <w:r w:rsidR="003E105F">
        <w:t>6.0</w:t>
      </w:r>
      <w:r w:rsidRPr="00FC0D63">
        <w:fldChar w:fldCharType="end"/>
      </w:r>
      <w:r w:rsidRPr="00FC0D63">
        <w:t xml:space="preserve"> ‘Findings’.</w:t>
      </w:r>
    </w:p>
    <w:p w14:paraId="20596302" w14:textId="77777777" w:rsidR="00B7794A" w:rsidRPr="00AB44A3" w:rsidRDefault="00B77915" w:rsidP="00AB44A3">
      <w:pPr>
        <w:pStyle w:val="Heading2"/>
      </w:pPr>
      <w:bookmarkStart w:id="22" w:name="_Ref518914845"/>
      <w:bookmarkStart w:id="23" w:name="_Toc522766141"/>
      <w:r w:rsidRPr="00AB44A3">
        <w:t>Consultation</w:t>
      </w:r>
      <w:bookmarkEnd w:id="22"/>
      <w:bookmarkEnd w:id="23"/>
      <w:r w:rsidRPr="00AB44A3">
        <w:t xml:space="preserve"> </w:t>
      </w:r>
    </w:p>
    <w:p w14:paraId="2038066A" w14:textId="77777777" w:rsidR="00AB5ECD" w:rsidRDefault="002A5E2A" w:rsidP="002A5E2A">
      <w:r>
        <w:t xml:space="preserve">The Consultation Plan at Appendix B </w:t>
      </w:r>
      <w:r w:rsidR="0093196D">
        <w:t xml:space="preserve">includes </w:t>
      </w:r>
      <w:r>
        <w:t>an overview of the</w:t>
      </w:r>
      <w:r w:rsidR="006E498E">
        <w:t xml:space="preserve"> promotion and </w:t>
      </w:r>
      <w:r>
        <w:t>community engagement approach for the project</w:t>
      </w:r>
      <w:r w:rsidR="00684D16">
        <w:t xml:space="preserve">.  </w:t>
      </w:r>
    </w:p>
    <w:p w14:paraId="205ADD50" w14:textId="77777777" w:rsidR="0093196D" w:rsidRDefault="00AB5ECD" w:rsidP="002A5E2A">
      <w:r>
        <w:t>The co</w:t>
      </w:r>
      <w:r w:rsidR="002A5E2A">
        <w:t>nsultatio</w:t>
      </w:r>
      <w:r>
        <w:t>n activities reached an estimated 2,500 people and</w:t>
      </w:r>
      <w:r w:rsidR="002A5E2A">
        <w:t xml:space="preserve"> included</w:t>
      </w:r>
      <w:r w:rsidR="0093196D">
        <w:t>:</w:t>
      </w:r>
    </w:p>
    <w:p w14:paraId="58E90081" w14:textId="77777777" w:rsidR="00D42634" w:rsidRDefault="0093196D" w:rsidP="00D42634">
      <w:pPr>
        <w:pStyle w:val="list1"/>
        <w:numPr>
          <w:ilvl w:val="0"/>
          <w:numId w:val="4"/>
        </w:numPr>
        <w:tabs>
          <w:tab w:val="left" w:pos="720"/>
        </w:tabs>
      </w:pPr>
      <w:r>
        <w:t xml:space="preserve">An online survey </w:t>
      </w:r>
      <w:r w:rsidR="00D42634">
        <w:t>(28 May to 25 June)</w:t>
      </w:r>
    </w:p>
    <w:p w14:paraId="7DC548C6" w14:textId="6AB81A36" w:rsidR="00EF00D1" w:rsidRDefault="00C1391F" w:rsidP="00EF00D1">
      <w:pPr>
        <w:pStyle w:val="list1"/>
        <w:numPr>
          <w:ilvl w:val="0"/>
          <w:numId w:val="4"/>
        </w:numPr>
        <w:tabs>
          <w:tab w:val="left" w:pos="720"/>
        </w:tabs>
      </w:pPr>
      <w:r>
        <w:t>‘</w:t>
      </w:r>
      <w:r w:rsidR="00EF00D1" w:rsidRPr="00D42634">
        <w:t>Pop-up</w:t>
      </w:r>
      <w:r w:rsidR="00030531">
        <w:t>’ information stall</w:t>
      </w:r>
      <w:r w:rsidR="00EF00D1" w:rsidRPr="00D42634">
        <w:t xml:space="preserve">s at: </w:t>
      </w:r>
    </w:p>
    <w:p w14:paraId="1485D40F" w14:textId="77777777" w:rsidR="00EF00D1" w:rsidRDefault="00EF00D1" w:rsidP="00EF00D1">
      <w:pPr>
        <w:pStyle w:val="list1"/>
        <w:numPr>
          <w:ilvl w:val="1"/>
          <w:numId w:val="4"/>
        </w:numPr>
        <w:tabs>
          <w:tab w:val="left" w:pos="720"/>
        </w:tabs>
      </w:pPr>
      <w:r w:rsidRPr="00D42634">
        <w:t>South Melbourne Market (2 June)</w:t>
      </w:r>
    </w:p>
    <w:p w14:paraId="6D250E4D" w14:textId="77777777" w:rsidR="00EF00D1" w:rsidRDefault="00EF00D1" w:rsidP="00EF00D1">
      <w:pPr>
        <w:pStyle w:val="list1"/>
        <w:numPr>
          <w:ilvl w:val="1"/>
          <w:numId w:val="4"/>
        </w:numPr>
        <w:tabs>
          <w:tab w:val="left" w:pos="720"/>
        </w:tabs>
      </w:pPr>
      <w:r w:rsidRPr="00D42634">
        <w:lastRenderedPageBreak/>
        <w:t xml:space="preserve">Balaclava Railway Station (8 June) </w:t>
      </w:r>
    </w:p>
    <w:p w14:paraId="41A28B6C" w14:textId="77777777" w:rsidR="00EF00D1" w:rsidRPr="00D42634" w:rsidRDefault="00EF00D1" w:rsidP="00EF00D1">
      <w:pPr>
        <w:pStyle w:val="list1"/>
        <w:numPr>
          <w:ilvl w:val="1"/>
          <w:numId w:val="4"/>
        </w:numPr>
        <w:tabs>
          <w:tab w:val="left" w:pos="720"/>
        </w:tabs>
      </w:pPr>
      <w:r w:rsidRPr="00D42634">
        <w:t>Gasworks Farmers Market (16 June)</w:t>
      </w:r>
    </w:p>
    <w:p w14:paraId="13CB73FF" w14:textId="10E34142" w:rsidR="002A5E2A" w:rsidRDefault="00D42634" w:rsidP="002A5E2A">
      <w:pPr>
        <w:pStyle w:val="list1"/>
        <w:numPr>
          <w:ilvl w:val="0"/>
          <w:numId w:val="4"/>
        </w:numPr>
        <w:tabs>
          <w:tab w:val="left" w:pos="720"/>
        </w:tabs>
      </w:pPr>
      <w:r>
        <w:t>Fa</w:t>
      </w:r>
      <w:r w:rsidR="002A5E2A" w:rsidRPr="002A5E2A">
        <w:t>ce-to-face meetings</w:t>
      </w:r>
      <w:r>
        <w:t xml:space="preserve">, </w:t>
      </w:r>
      <w:r w:rsidR="00B33226">
        <w:t xml:space="preserve">with </w:t>
      </w:r>
      <w:r w:rsidR="005F2470">
        <w:t>a range of</w:t>
      </w:r>
      <w:r w:rsidR="004E7F18">
        <w:t xml:space="preserve"> groups and individuals </w:t>
      </w:r>
      <w:r w:rsidR="005F2470">
        <w:t>including</w:t>
      </w:r>
      <w:r w:rsidR="004E7F18">
        <w:t xml:space="preserve"> but not limited to</w:t>
      </w:r>
      <w:r w:rsidR="005F2470">
        <w:t xml:space="preserve">: </w:t>
      </w:r>
    </w:p>
    <w:p w14:paraId="2FE2DB9E" w14:textId="29D04EF8" w:rsidR="00897905" w:rsidRDefault="00897905" w:rsidP="00897905">
      <w:pPr>
        <w:pStyle w:val="list1"/>
        <w:numPr>
          <w:ilvl w:val="1"/>
          <w:numId w:val="4"/>
        </w:numPr>
        <w:tabs>
          <w:tab w:val="left" w:pos="720"/>
        </w:tabs>
      </w:pPr>
      <w:r>
        <w:t>Janet Bolitho, former Mayor of the CoPP and founder of Port Places (29 May)</w:t>
      </w:r>
    </w:p>
    <w:p w14:paraId="2D100707" w14:textId="166D8580" w:rsidR="00897905" w:rsidRDefault="00897905" w:rsidP="00897905">
      <w:pPr>
        <w:pStyle w:val="list1"/>
        <w:numPr>
          <w:ilvl w:val="1"/>
          <w:numId w:val="4"/>
        </w:numPr>
        <w:tabs>
          <w:tab w:val="left" w:pos="720"/>
        </w:tabs>
      </w:pPr>
      <w:r>
        <w:t>Local historical society representatives (29 May</w:t>
      </w:r>
      <w:r w:rsidR="00405885">
        <w:t xml:space="preserve"> &amp; 29 June</w:t>
      </w:r>
      <w:r>
        <w:t>):</w:t>
      </w:r>
    </w:p>
    <w:p w14:paraId="5AEA6E15" w14:textId="774BB578" w:rsidR="00897905" w:rsidRDefault="00897905" w:rsidP="00897905">
      <w:pPr>
        <w:pStyle w:val="list1"/>
        <w:numPr>
          <w:ilvl w:val="2"/>
          <w:numId w:val="4"/>
        </w:numPr>
        <w:tabs>
          <w:tab w:val="left" w:pos="720"/>
        </w:tabs>
      </w:pPr>
      <w:r>
        <w:t>Jack Bolt – Port Melbourne Historical and Preservation Society</w:t>
      </w:r>
    </w:p>
    <w:p w14:paraId="6E8E13F6" w14:textId="09DA3CF3" w:rsidR="00897905" w:rsidRDefault="00897905" w:rsidP="00897905">
      <w:pPr>
        <w:pStyle w:val="list1"/>
        <w:numPr>
          <w:ilvl w:val="2"/>
          <w:numId w:val="4"/>
        </w:numPr>
        <w:tabs>
          <w:tab w:val="left" w:pos="720"/>
        </w:tabs>
      </w:pPr>
      <w:r>
        <w:t>Margaret Bride – Melbourne Historical and Preservation Society</w:t>
      </w:r>
    </w:p>
    <w:p w14:paraId="5BA0B9A1" w14:textId="166D6C4E" w:rsidR="00897905" w:rsidRDefault="00897905" w:rsidP="00897905">
      <w:pPr>
        <w:pStyle w:val="list1"/>
        <w:numPr>
          <w:ilvl w:val="2"/>
          <w:numId w:val="4"/>
        </w:numPr>
        <w:tabs>
          <w:tab w:val="left" w:pos="720"/>
        </w:tabs>
      </w:pPr>
      <w:r>
        <w:t>Adair Bunnett – Historical Centre in South Melbourne</w:t>
      </w:r>
    </w:p>
    <w:p w14:paraId="3FFE39AB" w14:textId="7F9B24F2" w:rsidR="00897905" w:rsidRDefault="00897905" w:rsidP="00897905">
      <w:pPr>
        <w:pStyle w:val="list1"/>
        <w:numPr>
          <w:ilvl w:val="2"/>
          <w:numId w:val="4"/>
        </w:numPr>
        <w:tabs>
          <w:tab w:val="left" w:pos="720"/>
        </w:tabs>
      </w:pPr>
      <w:r>
        <w:t>Robin Grow – Art Deco Society</w:t>
      </w:r>
    </w:p>
    <w:p w14:paraId="16F72958" w14:textId="4B4B3645" w:rsidR="00897905" w:rsidRDefault="00897905" w:rsidP="00897905">
      <w:pPr>
        <w:pStyle w:val="list1"/>
        <w:numPr>
          <w:ilvl w:val="2"/>
          <w:numId w:val="4"/>
        </w:numPr>
        <w:tabs>
          <w:tab w:val="left" w:pos="720"/>
        </w:tabs>
      </w:pPr>
      <w:r>
        <w:t>Suzy Millburn – Port Melbourne Historical and Preservation Society</w:t>
      </w:r>
    </w:p>
    <w:p w14:paraId="22F9CEBE" w14:textId="5D543897" w:rsidR="00897905" w:rsidRDefault="00897905" w:rsidP="00897905">
      <w:pPr>
        <w:pStyle w:val="list1"/>
        <w:numPr>
          <w:ilvl w:val="2"/>
          <w:numId w:val="4"/>
        </w:numPr>
        <w:tabs>
          <w:tab w:val="left" w:pos="720"/>
        </w:tabs>
      </w:pPr>
      <w:r>
        <w:t>Max Nankervis – Middle Park History Group</w:t>
      </w:r>
    </w:p>
    <w:p w14:paraId="221A951F" w14:textId="2D7C94EA" w:rsidR="00897905" w:rsidRPr="00897905" w:rsidRDefault="00897905" w:rsidP="00897905">
      <w:pPr>
        <w:pStyle w:val="list1"/>
        <w:numPr>
          <w:ilvl w:val="2"/>
          <w:numId w:val="4"/>
        </w:numPr>
        <w:tabs>
          <w:tab w:val="left" w:pos="720"/>
        </w:tabs>
      </w:pPr>
      <w:r w:rsidRPr="00897905">
        <w:t>Dr Janine Burke</w:t>
      </w:r>
      <w:r>
        <w:t xml:space="preserve"> –</w:t>
      </w:r>
      <w:r w:rsidR="00405885">
        <w:t xml:space="preserve"> </w:t>
      </w:r>
      <w:r w:rsidR="00405885">
        <w:rPr>
          <w:rFonts w:ascii="Calibri" w:hAnsi="Calibri" w:cs="Calibri"/>
          <w:lang w:eastAsia="en-AU"/>
        </w:rPr>
        <w:t>St Kilda Historical Society</w:t>
      </w:r>
    </w:p>
    <w:p w14:paraId="6E037FA3" w14:textId="314AAB20" w:rsidR="00897905" w:rsidRPr="00897905" w:rsidRDefault="00897905" w:rsidP="00897905">
      <w:pPr>
        <w:pStyle w:val="list1"/>
        <w:numPr>
          <w:ilvl w:val="2"/>
          <w:numId w:val="4"/>
        </w:numPr>
        <w:tabs>
          <w:tab w:val="left" w:pos="720"/>
        </w:tabs>
      </w:pPr>
      <w:r w:rsidRPr="00897905">
        <w:t>Helen Halliday</w:t>
      </w:r>
      <w:r>
        <w:t xml:space="preserve"> –</w:t>
      </w:r>
      <w:r w:rsidR="00405885">
        <w:t xml:space="preserve"> </w:t>
      </w:r>
      <w:r w:rsidR="00405885">
        <w:rPr>
          <w:rFonts w:ascii="Calibri" w:hAnsi="Calibri" w:cs="Calibri"/>
          <w:lang w:eastAsia="en-AU"/>
        </w:rPr>
        <w:t>St Kilda Historical Society</w:t>
      </w:r>
    </w:p>
    <w:p w14:paraId="030BEAAD" w14:textId="069F1F23" w:rsidR="00897905" w:rsidRDefault="00897905" w:rsidP="00897905">
      <w:pPr>
        <w:pStyle w:val="list1"/>
        <w:numPr>
          <w:ilvl w:val="2"/>
          <w:numId w:val="4"/>
        </w:numPr>
        <w:tabs>
          <w:tab w:val="left" w:pos="720"/>
        </w:tabs>
      </w:pPr>
      <w:r w:rsidRPr="00897905">
        <w:t>Jennifer Stone</w:t>
      </w:r>
      <w:r>
        <w:t xml:space="preserve"> –</w:t>
      </w:r>
      <w:r w:rsidR="00405885">
        <w:t xml:space="preserve"> </w:t>
      </w:r>
      <w:r w:rsidR="00405885">
        <w:rPr>
          <w:rFonts w:ascii="Calibri" w:hAnsi="Calibri" w:cs="Calibri"/>
          <w:lang w:eastAsia="en-AU"/>
        </w:rPr>
        <w:t>St Kilda Historical Society</w:t>
      </w:r>
    </w:p>
    <w:p w14:paraId="647D0438" w14:textId="72A65F6F" w:rsidR="00897905" w:rsidRDefault="00897905" w:rsidP="00897905">
      <w:pPr>
        <w:pStyle w:val="list1"/>
        <w:numPr>
          <w:ilvl w:val="1"/>
          <w:numId w:val="4"/>
        </w:numPr>
        <w:tabs>
          <w:tab w:val="left" w:pos="720"/>
        </w:tabs>
      </w:pPr>
      <w:r>
        <w:t>Peter Holland, unChain St Kilda (29 May)</w:t>
      </w:r>
    </w:p>
    <w:p w14:paraId="4CA786DC" w14:textId="7D5F12B0" w:rsidR="00897905" w:rsidRDefault="00897905" w:rsidP="00897905">
      <w:pPr>
        <w:pStyle w:val="list1"/>
        <w:numPr>
          <w:ilvl w:val="1"/>
          <w:numId w:val="4"/>
        </w:numPr>
        <w:tabs>
          <w:tab w:val="left" w:pos="720"/>
        </w:tabs>
      </w:pPr>
      <w:r>
        <w:t>Older Persons Consultative Committee, multiple attendees (4 June)</w:t>
      </w:r>
    </w:p>
    <w:p w14:paraId="51ED7CC3" w14:textId="12C6E0CC" w:rsidR="00897905" w:rsidRDefault="00897905" w:rsidP="00897905">
      <w:pPr>
        <w:pStyle w:val="list1"/>
        <w:numPr>
          <w:ilvl w:val="1"/>
          <w:numId w:val="4"/>
        </w:numPr>
        <w:tabs>
          <w:tab w:val="left" w:pos="720"/>
        </w:tabs>
      </w:pPr>
      <w:r>
        <w:t>Pauline Adams, resident of Garden City (5 June)</w:t>
      </w:r>
    </w:p>
    <w:p w14:paraId="1ED832B0" w14:textId="56FD8F26" w:rsidR="00897905" w:rsidRDefault="00897905" w:rsidP="00897905">
      <w:pPr>
        <w:pStyle w:val="list1"/>
        <w:numPr>
          <w:ilvl w:val="1"/>
          <w:numId w:val="4"/>
        </w:numPr>
        <w:tabs>
          <w:tab w:val="left" w:pos="720"/>
        </w:tabs>
      </w:pPr>
      <w:r>
        <w:t>Arts and culture representatives (5 June):</w:t>
      </w:r>
    </w:p>
    <w:p w14:paraId="671D485A" w14:textId="008272F8" w:rsidR="00897905" w:rsidRDefault="00897905" w:rsidP="00897905">
      <w:pPr>
        <w:pStyle w:val="list1"/>
        <w:numPr>
          <w:ilvl w:val="2"/>
          <w:numId w:val="4"/>
        </w:numPr>
        <w:tabs>
          <w:tab w:val="left" w:pos="720"/>
        </w:tabs>
      </w:pPr>
      <w:r>
        <w:t>Kaye Blum, www.stkildajazztour.com.au</w:t>
      </w:r>
    </w:p>
    <w:p w14:paraId="696D8A4C" w14:textId="22F64EF0" w:rsidR="00897905" w:rsidRDefault="00897905" w:rsidP="00897905">
      <w:pPr>
        <w:pStyle w:val="list1"/>
        <w:numPr>
          <w:ilvl w:val="2"/>
          <w:numId w:val="4"/>
        </w:numPr>
        <w:tabs>
          <w:tab w:val="left" w:pos="720"/>
        </w:tabs>
      </w:pPr>
      <w:r>
        <w:t>Juliette Hanson, Curator, Linden New Art</w:t>
      </w:r>
    </w:p>
    <w:p w14:paraId="2A5F6B24" w14:textId="07DA493A" w:rsidR="00897905" w:rsidRDefault="00897905" w:rsidP="00897905">
      <w:pPr>
        <w:pStyle w:val="list1"/>
        <w:numPr>
          <w:ilvl w:val="2"/>
          <w:numId w:val="4"/>
        </w:numPr>
        <w:tabs>
          <w:tab w:val="left" w:pos="720"/>
        </w:tabs>
      </w:pPr>
      <w:r>
        <w:t>Julie Shields, artist</w:t>
      </w:r>
    </w:p>
    <w:p w14:paraId="299DFC47" w14:textId="52FA0F63" w:rsidR="00897905" w:rsidRDefault="00897905" w:rsidP="00897905">
      <w:pPr>
        <w:pStyle w:val="list1"/>
        <w:numPr>
          <w:ilvl w:val="1"/>
          <w:numId w:val="4"/>
        </w:numPr>
        <w:tabs>
          <w:tab w:val="left" w:pos="720"/>
        </w:tabs>
      </w:pPr>
      <w:r>
        <w:t>LGBTQI representatives (5 June):</w:t>
      </w:r>
    </w:p>
    <w:p w14:paraId="2CE3EC1D" w14:textId="6E2296CF" w:rsidR="00897905" w:rsidRDefault="00897905" w:rsidP="00897905">
      <w:pPr>
        <w:pStyle w:val="list1"/>
        <w:numPr>
          <w:ilvl w:val="2"/>
          <w:numId w:val="4"/>
        </w:numPr>
        <w:tabs>
          <w:tab w:val="left" w:pos="720"/>
        </w:tabs>
      </w:pPr>
      <w:r>
        <w:t>Dr Catherine Barrett</w:t>
      </w:r>
    </w:p>
    <w:p w14:paraId="3EE5D07A" w14:textId="397F402A" w:rsidR="00897905" w:rsidRDefault="00897905" w:rsidP="00897905">
      <w:pPr>
        <w:pStyle w:val="list1"/>
        <w:numPr>
          <w:ilvl w:val="2"/>
          <w:numId w:val="4"/>
        </w:numPr>
        <w:tabs>
          <w:tab w:val="left" w:pos="720"/>
        </w:tabs>
      </w:pPr>
      <w:r>
        <w:t>Gavin Brown</w:t>
      </w:r>
    </w:p>
    <w:p w14:paraId="117BBE27" w14:textId="1B9F0BAF" w:rsidR="00897905" w:rsidRDefault="00897905" w:rsidP="00897905">
      <w:pPr>
        <w:pStyle w:val="list1"/>
        <w:numPr>
          <w:ilvl w:val="2"/>
          <w:numId w:val="4"/>
        </w:numPr>
        <w:tabs>
          <w:tab w:val="left" w:pos="720"/>
        </w:tabs>
      </w:pPr>
      <w:r>
        <w:t>Andrew Hazewinkel</w:t>
      </w:r>
    </w:p>
    <w:p w14:paraId="533A8BE0" w14:textId="03D4337D" w:rsidR="00897905" w:rsidRDefault="00897905" w:rsidP="00897905">
      <w:pPr>
        <w:pStyle w:val="list1"/>
        <w:numPr>
          <w:ilvl w:val="2"/>
          <w:numId w:val="4"/>
        </w:numPr>
        <w:tabs>
          <w:tab w:val="left" w:pos="720"/>
        </w:tabs>
      </w:pPr>
      <w:r>
        <w:t>Lawrence Johnston</w:t>
      </w:r>
    </w:p>
    <w:p w14:paraId="75A8BA48" w14:textId="7C68560B" w:rsidR="00897905" w:rsidRDefault="00897905" w:rsidP="00897905">
      <w:pPr>
        <w:pStyle w:val="list1"/>
        <w:numPr>
          <w:ilvl w:val="2"/>
          <w:numId w:val="4"/>
        </w:numPr>
        <w:tabs>
          <w:tab w:val="left" w:pos="720"/>
        </w:tabs>
      </w:pPr>
      <w:r>
        <w:t>Peter McEwan</w:t>
      </w:r>
    </w:p>
    <w:p w14:paraId="49B9CF85" w14:textId="2D9B3633" w:rsidR="00897905" w:rsidRDefault="00897905" w:rsidP="00897905">
      <w:pPr>
        <w:pStyle w:val="list1"/>
        <w:numPr>
          <w:ilvl w:val="2"/>
          <w:numId w:val="4"/>
        </w:numPr>
        <w:tabs>
          <w:tab w:val="left" w:pos="720"/>
        </w:tabs>
      </w:pPr>
      <w:r w:rsidRPr="00897905">
        <w:t>Lex Middleton</w:t>
      </w:r>
    </w:p>
    <w:p w14:paraId="0F18B590" w14:textId="6670A583" w:rsidR="00405885" w:rsidRDefault="00405885" w:rsidP="00405885">
      <w:pPr>
        <w:pStyle w:val="list1"/>
        <w:numPr>
          <w:ilvl w:val="1"/>
          <w:numId w:val="4"/>
        </w:numPr>
        <w:tabs>
          <w:tab w:val="left" w:pos="720"/>
        </w:tabs>
      </w:pPr>
      <w:r>
        <w:t>Multi-fa</w:t>
      </w:r>
      <w:r w:rsidRPr="00E66811">
        <w:t xml:space="preserve">ith </w:t>
      </w:r>
      <w:r>
        <w:t>Networks (12 June)</w:t>
      </w:r>
    </w:p>
    <w:p w14:paraId="30B705C0" w14:textId="732FEAE2" w:rsidR="004E7F18" w:rsidRDefault="00E66811" w:rsidP="00897905">
      <w:pPr>
        <w:pStyle w:val="list1"/>
        <w:numPr>
          <w:ilvl w:val="1"/>
          <w:numId w:val="4"/>
        </w:numPr>
        <w:tabs>
          <w:tab w:val="left" w:pos="720"/>
        </w:tabs>
      </w:pPr>
      <w:r>
        <w:t>M</w:t>
      </w:r>
      <w:r w:rsidRPr="00E66811">
        <w:t xml:space="preserve">ulti-cultural </w:t>
      </w:r>
      <w:r w:rsidR="00405885">
        <w:t>Forum</w:t>
      </w:r>
      <w:r w:rsidR="004E7F18">
        <w:t xml:space="preserve"> </w:t>
      </w:r>
      <w:r w:rsidR="00405885">
        <w:t>(21 June)</w:t>
      </w:r>
    </w:p>
    <w:p w14:paraId="0945B9AB" w14:textId="35DAC7B3" w:rsidR="00897905" w:rsidRDefault="00897905" w:rsidP="00897905">
      <w:pPr>
        <w:pStyle w:val="list1"/>
        <w:numPr>
          <w:ilvl w:val="1"/>
          <w:numId w:val="4"/>
        </w:numPr>
        <w:tabs>
          <w:tab w:val="left" w:pos="720"/>
        </w:tabs>
      </w:pPr>
      <w:r>
        <w:t>Albert Park College students (16 June)</w:t>
      </w:r>
    </w:p>
    <w:p w14:paraId="332437A0" w14:textId="5508BF6D" w:rsidR="00897905" w:rsidRDefault="00897905" w:rsidP="00897905">
      <w:pPr>
        <w:pStyle w:val="list1"/>
        <w:numPr>
          <w:ilvl w:val="1"/>
          <w:numId w:val="4"/>
        </w:numPr>
        <w:tabs>
          <w:tab w:val="left" w:pos="720"/>
        </w:tabs>
      </w:pPr>
      <w:r>
        <w:t>Representative of St Kilda Primary School (26 June)</w:t>
      </w:r>
    </w:p>
    <w:p w14:paraId="4BA49A87" w14:textId="77777777" w:rsidR="00405885" w:rsidRDefault="00405885" w:rsidP="00405885">
      <w:pPr>
        <w:pStyle w:val="list1"/>
        <w:numPr>
          <w:ilvl w:val="0"/>
          <w:numId w:val="0"/>
        </w:numPr>
        <w:tabs>
          <w:tab w:val="left" w:pos="720"/>
        </w:tabs>
        <w:ind w:left="1800"/>
      </w:pPr>
    </w:p>
    <w:p w14:paraId="67F8D932" w14:textId="2E643E98" w:rsidR="00C30A19" w:rsidRDefault="00C30A19" w:rsidP="00AB44A3">
      <w:pPr>
        <w:pStyle w:val="Heading2"/>
      </w:pPr>
      <w:bookmarkStart w:id="24" w:name="_Ref519600297"/>
      <w:bookmarkStart w:id="25" w:name="_Toc522766142"/>
      <w:r w:rsidRPr="00AB44A3">
        <w:lastRenderedPageBreak/>
        <w:t>Research</w:t>
      </w:r>
      <w:bookmarkEnd w:id="24"/>
      <w:bookmarkEnd w:id="25"/>
      <w:r w:rsidRPr="00AB44A3">
        <w:t xml:space="preserve"> </w:t>
      </w:r>
    </w:p>
    <w:p w14:paraId="221473CA" w14:textId="77777777" w:rsidR="00030531" w:rsidRDefault="00AD5C5F" w:rsidP="00AD5C5F">
      <w:pPr>
        <w:pStyle w:val="list1"/>
        <w:numPr>
          <w:ilvl w:val="0"/>
          <w:numId w:val="0"/>
        </w:numPr>
        <w:tabs>
          <w:tab w:val="left" w:pos="720"/>
        </w:tabs>
      </w:pPr>
      <w:r>
        <w:t xml:space="preserve">In addition to the above, </w:t>
      </w:r>
      <w:r w:rsidR="00361130">
        <w:t xml:space="preserve">academic and theoretical analyses of the relevance to the subject were reviewed (as referenced throughout this document).  </w:t>
      </w:r>
    </w:p>
    <w:p w14:paraId="50B1491A" w14:textId="06450D1B" w:rsidR="00AD5C5F" w:rsidRDefault="00361130" w:rsidP="00AD5C5F">
      <w:pPr>
        <w:pStyle w:val="list1"/>
        <w:numPr>
          <w:ilvl w:val="0"/>
          <w:numId w:val="0"/>
        </w:numPr>
        <w:tabs>
          <w:tab w:val="left" w:pos="720"/>
        </w:tabs>
      </w:pPr>
      <w:r>
        <w:t>M</w:t>
      </w:r>
      <w:r w:rsidR="00AD5C5F">
        <w:t xml:space="preserve">eetings were </w:t>
      </w:r>
      <w:r>
        <w:t xml:space="preserve">also </w:t>
      </w:r>
      <w:r w:rsidR="00AD5C5F">
        <w:t>undertaken to inform an understanding of the project context, including:</w:t>
      </w:r>
    </w:p>
    <w:p w14:paraId="3C4E408A" w14:textId="687A924E" w:rsidR="00AD5C5F" w:rsidRDefault="00E223B1" w:rsidP="00AD5C5F">
      <w:pPr>
        <w:pStyle w:val="list1"/>
        <w:numPr>
          <w:ilvl w:val="0"/>
          <w:numId w:val="4"/>
        </w:numPr>
        <w:tabs>
          <w:tab w:val="left" w:pos="720"/>
        </w:tabs>
      </w:pPr>
      <w:r>
        <w:t xml:space="preserve">A representative of Deakin University who has </w:t>
      </w:r>
      <w:r w:rsidR="00AD5C5F">
        <w:t>contrib</w:t>
      </w:r>
      <w:r>
        <w:t xml:space="preserve">uted </w:t>
      </w:r>
      <w:r w:rsidR="00AD5C5F">
        <w:t xml:space="preserve">to the PastPort digital heritage </w:t>
      </w:r>
      <w:r w:rsidR="00030531">
        <w:t xml:space="preserve">initiative </w:t>
      </w:r>
      <w:r w:rsidR="00042CDE">
        <w:t>(</w:t>
      </w:r>
      <w:r w:rsidR="001A6383">
        <w:t>see</w:t>
      </w:r>
      <w:r w:rsidR="00042CDE">
        <w:t xml:space="preserve"> Section </w:t>
      </w:r>
      <w:r w:rsidR="00042CDE">
        <w:fldChar w:fldCharType="begin"/>
      </w:r>
      <w:r w:rsidR="00042CDE">
        <w:instrText xml:space="preserve"> REF _Ref518988074 \r \h </w:instrText>
      </w:r>
      <w:r w:rsidR="00042CDE">
        <w:fldChar w:fldCharType="separate"/>
      </w:r>
      <w:r w:rsidR="003E105F">
        <w:t>2.2.1</w:t>
      </w:r>
      <w:r w:rsidR="00042CDE">
        <w:fldChar w:fldCharType="end"/>
      </w:r>
      <w:r w:rsidR="00042CDE">
        <w:t xml:space="preserve">) </w:t>
      </w:r>
      <w:r w:rsidR="00AD5C5F">
        <w:t>and Ballarat</w:t>
      </w:r>
      <w:r w:rsidR="00030531">
        <w:t xml:space="preserve">’s </w:t>
      </w:r>
      <w:r w:rsidR="00AD5C5F">
        <w:t xml:space="preserve">Historic Urban Landscapes project (see Section </w:t>
      </w:r>
      <w:r w:rsidR="001A6383">
        <w:fldChar w:fldCharType="begin"/>
      </w:r>
      <w:r w:rsidR="001A6383">
        <w:instrText xml:space="preserve"> REF _Ref522620930 \r \h </w:instrText>
      </w:r>
      <w:r w:rsidR="001A6383">
        <w:fldChar w:fldCharType="separate"/>
      </w:r>
      <w:r w:rsidR="003E105F">
        <w:t>3.2</w:t>
      </w:r>
      <w:r w:rsidR="001A6383">
        <w:fldChar w:fldCharType="end"/>
      </w:r>
      <w:r w:rsidR="00AD5C5F">
        <w:t>)</w:t>
      </w:r>
      <w:r w:rsidR="00AD5C5F">
        <w:rPr>
          <w:rStyle w:val="FootnoteReference"/>
        </w:rPr>
        <w:footnoteReference w:id="11"/>
      </w:r>
    </w:p>
    <w:p w14:paraId="210EBCA9" w14:textId="1497BE81" w:rsidR="00AD5C5F" w:rsidRDefault="00E223B1" w:rsidP="00AD5C5F">
      <w:pPr>
        <w:pStyle w:val="list1"/>
        <w:numPr>
          <w:ilvl w:val="0"/>
          <w:numId w:val="4"/>
        </w:numPr>
        <w:tabs>
          <w:tab w:val="left" w:pos="720"/>
        </w:tabs>
      </w:pPr>
      <w:r>
        <w:t xml:space="preserve">Representatives of the City of Ballarat’s </w:t>
      </w:r>
      <w:r w:rsidR="00AD5C5F" w:rsidRPr="003C693C">
        <w:t>Heritage and Cultural Landscapes</w:t>
      </w:r>
      <w:r w:rsidR="00AD5C5F">
        <w:t xml:space="preserve"> </w:t>
      </w:r>
      <w:r>
        <w:t>team</w:t>
      </w:r>
    </w:p>
    <w:p w14:paraId="4D6860A8" w14:textId="7ADA4944" w:rsidR="00AD5C5F" w:rsidRDefault="00C7409B" w:rsidP="00AD5C5F">
      <w:pPr>
        <w:pStyle w:val="Heading3"/>
        <w:tabs>
          <w:tab w:val="clear" w:pos="2128"/>
          <w:tab w:val="num" w:pos="851"/>
        </w:tabs>
        <w:ind w:left="0" w:firstLine="0"/>
        <w:rPr>
          <w:bCs w:val="0"/>
        </w:rPr>
      </w:pPr>
      <w:bookmarkStart w:id="26" w:name="_Ref518988074"/>
      <w:bookmarkStart w:id="27" w:name="_Toc522766143"/>
      <w:r>
        <w:rPr>
          <w:bCs w:val="0"/>
        </w:rPr>
        <w:t>O</w:t>
      </w:r>
      <w:r w:rsidR="00AD5C5F" w:rsidRPr="00AD5C5F">
        <w:rPr>
          <w:bCs w:val="0"/>
        </w:rPr>
        <w:t>nline sources</w:t>
      </w:r>
      <w:bookmarkEnd w:id="26"/>
      <w:bookmarkEnd w:id="27"/>
    </w:p>
    <w:p w14:paraId="3850EEE3" w14:textId="4F5FA0D5" w:rsidR="00352C2D" w:rsidRDefault="00352C2D" w:rsidP="00352C2D">
      <w:r>
        <w:t>Recognising the increasing integration of digital media and technologies in</w:t>
      </w:r>
      <w:r w:rsidR="00030531">
        <w:t xml:space="preserve"> </w:t>
      </w:r>
      <w:r>
        <w:t>our daily lives</w:t>
      </w:r>
      <w:r w:rsidR="006D62DA">
        <w:t xml:space="preserve">, </w:t>
      </w:r>
      <w:r>
        <w:t xml:space="preserve">desktop research was undertaken into the use of blogs, mobile applications and social media by members of the Port Phillip community in </w:t>
      </w:r>
      <w:r w:rsidR="00030531">
        <w:t xml:space="preserve">seeking to </w:t>
      </w:r>
      <w:r>
        <w:t>understand</w:t>
      </w:r>
      <w:r w:rsidR="00030531">
        <w:t xml:space="preserve"> </w:t>
      </w:r>
      <w:r>
        <w:t>what issues and places are valued by them.  Reference to online forums and resources was a regular feature of discussions with stakeholders.  The following provides a summary of select blogs, networks and applications</w:t>
      </w:r>
      <w:r w:rsidR="006D62DA">
        <w:t xml:space="preserve"> reviewed for the purposes of this report. </w:t>
      </w:r>
    </w:p>
    <w:p w14:paraId="13E95CD9" w14:textId="77777777" w:rsidR="00C7409B" w:rsidRDefault="00C7409B" w:rsidP="00C7409B">
      <w:pPr>
        <w:pStyle w:val="Heading5"/>
      </w:pPr>
      <w:r>
        <w:t>Blogs</w:t>
      </w:r>
    </w:p>
    <w:p w14:paraId="7A9BB743" w14:textId="69276E09" w:rsidR="00307843" w:rsidRDefault="00352C2D" w:rsidP="00445AD6">
      <w:r>
        <w:t xml:space="preserve">The </w:t>
      </w:r>
      <w:r w:rsidRPr="00352C2D">
        <w:t>High Riser</w:t>
      </w:r>
      <w:r>
        <w:t xml:space="preserve"> blog (</w:t>
      </w:r>
      <w:hyperlink r:id="rId13" w:history="1">
        <w:r w:rsidR="004972A1" w:rsidRPr="00C96134">
          <w:rPr>
            <w:rStyle w:val="Hyperlink"/>
            <w:sz w:val="20"/>
          </w:rPr>
          <w:t>http://highriser.blogspot.com</w:t>
        </w:r>
        <w:r w:rsidR="004972A1" w:rsidRPr="004972A1">
          <w:rPr>
            <w:rStyle w:val="Hyperlink"/>
            <w:color w:val="auto"/>
            <w:sz w:val="20"/>
          </w:rPr>
          <w:t>)</w:t>
        </w:r>
      </w:hyperlink>
      <w:r w:rsidR="004972A1">
        <w:t xml:space="preserve"> has been </w:t>
      </w:r>
      <w:r>
        <w:t xml:space="preserve">published by a resident of St Kilda </w:t>
      </w:r>
      <w:r w:rsidR="004972A1">
        <w:t xml:space="preserve">since 2004.  It </w:t>
      </w:r>
      <w:r>
        <w:t xml:space="preserve">contains regular reflections on the changing character of </w:t>
      </w:r>
      <w:r w:rsidR="006D62DA">
        <w:t>St Kilda</w:t>
      </w:r>
      <w:r w:rsidR="004972A1">
        <w:t xml:space="preserve">, as well as other locations within the municipality.  The </w:t>
      </w:r>
      <w:r>
        <w:t>blog has had nearly</w:t>
      </w:r>
      <w:r w:rsidR="004972A1">
        <w:t xml:space="preserve"> two </w:t>
      </w:r>
      <w:r>
        <w:t xml:space="preserve">million views and many posts attract comments.  </w:t>
      </w:r>
    </w:p>
    <w:p w14:paraId="13BBAD99" w14:textId="68A7A52A" w:rsidR="00F73CF7" w:rsidRDefault="00F73CF7" w:rsidP="00F73CF7">
      <w:r>
        <w:t>High Riser’s views on contentious issues, such as the closure of the Gatwick Private Hotel, reveal a nostalgia for the area’s heritage.  The blog included photos of the owners and their letter to the local area that was pasted to the wall of the hotel prior to its closure (</w:t>
      </w:r>
      <w:r>
        <w:fldChar w:fldCharType="begin"/>
      </w:r>
      <w:r>
        <w:instrText xml:space="preserve"> REF _Ref518998159 \h </w:instrText>
      </w:r>
      <w:r>
        <w:fldChar w:fldCharType="separate"/>
      </w:r>
      <w:r w:rsidR="003E105F">
        <w:t xml:space="preserve">Figure </w:t>
      </w:r>
      <w:r w:rsidR="003E105F">
        <w:rPr>
          <w:noProof/>
        </w:rPr>
        <w:t>2</w:t>
      </w:r>
      <w:r>
        <w:fldChar w:fldCharType="end"/>
      </w:r>
      <w:r>
        <w:t xml:space="preserve">).  As a member of the gay community, High Riser was a keen follower of the campaign against demolition of the Greyhound Hotel, and provided the following commentary: </w:t>
      </w:r>
    </w:p>
    <w:p w14:paraId="37204C51" w14:textId="1E2136A2" w:rsidR="00307843" w:rsidRDefault="00307843" w:rsidP="00307843">
      <w:pPr>
        <w:pStyle w:val="Quotation"/>
        <w:rPr>
          <w:shd w:val="clear" w:color="auto" w:fill="FFFFFF"/>
        </w:rPr>
      </w:pPr>
      <w:r>
        <w:rPr>
          <w:shd w:val="clear" w:color="auto" w:fill="FFFFFF"/>
        </w:rPr>
        <w:t xml:space="preserve">I don't blame the owners for </w:t>
      </w:r>
      <w:r w:rsidR="00124944">
        <w:rPr>
          <w:shd w:val="clear" w:color="auto" w:fill="FFFFFF"/>
        </w:rPr>
        <w:t xml:space="preserve">[…] </w:t>
      </w:r>
      <w:r>
        <w:rPr>
          <w:shd w:val="clear" w:color="auto" w:fill="FFFFFF"/>
        </w:rPr>
        <w:t xml:space="preserve">refusing a good offer. </w:t>
      </w:r>
      <w:r w:rsidR="00124944">
        <w:rPr>
          <w:shd w:val="clear" w:color="auto" w:fill="FFFFFF"/>
        </w:rPr>
        <w:t xml:space="preserve"> </w:t>
      </w:r>
      <w:r>
        <w:rPr>
          <w:shd w:val="clear" w:color="auto" w:fill="FFFFFF"/>
        </w:rPr>
        <w:t>I don't really blame the council or the very evil VCAT for the issuing of a demolition permit</w:t>
      </w:r>
      <w:r w:rsidR="00054900">
        <w:rPr>
          <w:shd w:val="clear" w:color="auto" w:fill="FFFFFF"/>
        </w:rPr>
        <w:t xml:space="preserve"> ..</w:t>
      </w:r>
      <w:r>
        <w:rPr>
          <w:shd w:val="clear" w:color="auto" w:fill="FFFFFF"/>
        </w:rPr>
        <w:t xml:space="preserve">. </w:t>
      </w:r>
      <w:r w:rsidR="00124944">
        <w:rPr>
          <w:shd w:val="clear" w:color="auto" w:fill="FFFFFF"/>
        </w:rPr>
        <w:t xml:space="preserve"> </w:t>
      </w:r>
      <w:r>
        <w:rPr>
          <w:shd w:val="clear" w:color="auto" w:fill="FFFFFF"/>
        </w:rPr>
        <w:t xml:space="preserve">It is all quite legal and the building has no great architectural merit. </w:t>
      </w:r>
      <w:r w:rsidR="00124944">
        <w:rPr>
          <w:shd w:val="clear" w:color="auto" w:fill="FFFFFF"/>
        </w:rPr>
        <w:t xml:space="preserve"> </w:t>
      </w:r>
      <w:r>
        <w:rPr>
          <w:shd w:val="clear" w:color="auto" w:fill="FFFFFF"/>
        </w:rPr>
        <w:t xml:space="preserve">Yet it has an intangible quality and adds to the immediate area. </w:t>
      </w:r>
      <w:r w:rsidR="00124944">
        <w:rPr>
          <w:shd w:val="clear" w:color="auto" w:fill="FFFFFF"/>
        </w:rPr>
        <w:t xml:space="preserve"> </w:t>
      </w:r>
      <w:r>
        <w:rPr>
          <w:shd w:val="clear" w:color="auto" w:fill="FFFFFF"/>
        </w:rPr>
        <w:t>Sometimes I just don't have the word skills to express things as I would like, and this is one such occasion.</w:t>
      </w:r>
      <w:r w:rsidR="00124944">
        <w:rPr>
          <w:rStyle w:val="FootnoteReference"/>
          <w:shd w:val="clear" w:color="auto" w:fill="FFFFFF"/>
        </w:rPr>
        <w:footnoteReference w:id="12"/>
      </w:r>
    </w:p>
    <w:p w14:paraId="1BED7CFC" w14:textId="252EC883" w:rsidR="00FC0D63" w:rsidRDefault="006D62DA" w:rsidP="00FC0D63">
      <w:pPr>
        <w:pStyle w:val="Figure"/>
      </w:pPr>
      <w:r>
        <w:rPr>
          <w:noProof/>
          <w:lang w:eastAsia="en-AU"/>
        </w:rPr>
        <w:lastRenderedPageBreak/>
        <w:drawing>
          <wp:inline distT="0" distB="0" distL="0" distR="0" wp14:anchorId="0ECF2109" wp14:editId="0A801E8B">
            <wp:extent cx="5004000" cy="2203126"/>
            <wp:effectExtent l="0" t="0" r="6350" b="6985"/>
            <wp:docPr id="11" name="Picture 11" descr="Post to the High Riser blog, 15 July 2017: reflections on the closure of the Gatwick Private Hotel&#10;Source: http://highriser.blogspot.com, accessed 10 July 2018&#10;" title="Post to the High Riser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bwMode="auto">
                    <a:xfrm>
                      <a:off x="0" y="0"/>
                      <a:ext cx="5004000" cy="2203126"/>
                    </a:xfrm>
                    <a:prstGeom prst="rect">
                      <a:avLst/>
                    </a:prstGeom>
                    <a:ln>
                      <a:noFill/>
                    </a:ln>
                    <a:extLst>
                      <a:ext uri="{53640926-AAD7-44D8-BBD7-CCE9431645EC}">
                        <a14:shadowObscured xmlns:a14="http://schemas.microsoft.com/office/drawing/2010/main"/>
                      </a:ext>
                    </a:extLst>
                  </pic:spPr>
                </pic:pic>
              </a:graphicData>
            </a:graphic>
          </wp:inline>
        </w:drawing>
      </w:r>
    </w:p>
    <w:p w14:paraId="00E0A259" w14:textId="25D796A8" w:rsidR="00FC0D63" w:rsidRDefault="00FC0D63" w:rsidP="00FC0D63">
      <w:pPr>
        <w:pStyle w:val="Caption"/>
      </w:pPr>
      <w:bookmarkStart w:id="28" w:name="_Ref518998159"/>
      <w:r>
        <w:t xml:space="preserve">Figure </w:t>
      </w:r>
      <w:r w:rsidR="00B71F81">
        <w:rPr>
          <w:noProof/>
        </w:rPr>
        <w:fldChar w:fldCharType="begin"/>
      </w:r>
      <w:r w:rsidR="00B71F81">
        <w:rPr>
          <w:noProof/>
        </w:rPr>
        <w:instrText xml:space="preserve"> SEQ Figure \* ARABIC </w:instrText>
      </w:r>
      <w:r w:rsidR="00B71F81">
        <w:rPr>
          <w:noProof/>
        </w:rPr>
        <w:fldChar w:fldCharType="separate"/>
      </w:r>
      <w:r w:rsidR="003E105F">
        <w:rPr>
          <w:noProof/>
        </w:rPr>
        <w:t>2</w:t>
      </w:r>
      <w:r w:rsidR="00B71F81">
        <w:rPr>
          <w:noProof/>
        </w:rPr>
        <w:fldChar w:fldCharType="end"/>
      </w:r>
      <w:bookmarkEnd w:id="28"/>
      <w:r>
        <w:tab/>
        <w:t>Post to the High Riser blog, 15 July 2017:</w:t>
      </w:r>
      <w:r w:rsidR="00790E70">
        <w:t xml:space="preserve"> </w:t>
      </w:r>
      <w:r w:rsidR="00881C1E">
        <w:t>reflections on</w:t>
      </w:r>
      <w:r>
        <w:t xml:space="preserve"> the </w:t>
      </w:r>
      <w:r w:rsidR="00881C1E">
        <w:t xml:space="preserve">closure </w:t>
      </w:r>
      <w:r>
        <w:t xml:space="preserve">of the Gatwick </w:t>
      </w:r>
      <w:r w:rsidR="00881C1E">
        <w:t xml:space="preserve">Private </w:t>
      </w:r>
      <w:r>
        <w:t>Hotel</w:t>
      </w:r>
    </w:p>
    <w:p w14:paraId="3549C0E2" w14:textId="1781129F" w:rsidR="00FC0D63" w:rsidRDefault="00FC0D63" w:rsidP="00054900">
      <w:pPr>
        <w:pStyle w:val="Figuresource"/>
      </w:pPr>
      <w:r>
        <w:t xml:space="preserve">Source: </w:t>
      </w:r>
      <w:hyperlink r:id="rId15" w:history="1">
        <w:r w:rsidRPr="005D70C3">
          <w:rPr>
            <w:rStyle w:val="Hyperlink"/>
            <w:sz w:val="20"/>
          </w:rPr>
          <w:t>http://highriser.blogspot.com</w:t>
        </w:r>
      </w:hyperlink>
      <w:r>
        <w:t>, accessed 10 July 2018</w:t>
      </w:r>
    </w:p>
    <w:p w14:paraId="2D84B9C7" w14:textId="77777777" w:rsidR="00F73CF7" w:rsidRDefault="00F73CF7" w:rsidP="00176D91">
      <w:pPr>
        <w:pStyle w:val="Heading5"/>
      </w:pPr>
    </w:p>
    <w:p w14:paraId="24D83B58" w14:textId="4C3F253F" w:rsidR="00176D91" w:rsidRDefault="00176D91" w:rsidP="00176D91">
      <w:pPr>
        <w:pStyle w:val="Heading5"/>
      </w:pPr>
      <w:r>
        <w:t>Social media networks</w:t>
      </w:r>
    </w:p>
    <w:p w14:paraId="6FA64B76" w14:textId="77777777" w:rsidR="00F73CF7" w:rsidRDefault="00F73CF7" w:rsidP="00F73CF7">
      <w:r>
        <w:t xml:space="preserve">Facebook groups also provide an avenue for the CoPP community to share and engage with heritage issues.  Groups on the platform include those based in St Kilda, Port Melbourne and Elwood; there are also groups for alumni to share memories of local schools.  Aside from varying in size, some Facebook groups are more active than others with posting photos, videos and interaction.  Group members share videos and historic photos of the local area, as well as sharing posts from other local history pages.  They also meet up with members.  </w:t>
      </w:r>
      <w:r w:rsidRPr="00F73CF7">
        <w:t xml:space="preserve">These pages post about memories of places as they are under threat, such as the active conversation about the sale of the London Hotel in Port Melbourne in the </w:t>
      </w:r>
      <w:r w:rsidRPr="00F73CF7">
        <w:rPr>
          <w:i/>
        </w:rPr>
        <w:t>Friends of St Kilda</w:t>
      </w:r>
      <w:r w:rsidRPr="00F73CF7">
        <w:t xml:space="preserve"> Facebook page, with users sharing newspaper articles and commentary on the issue.</w:t>
      </w:r>
      <w:r>
        <w:t xml:space="preserve">  </w:t>
      </w:r>
    </w:p>
    <w:p w14:paraId="69797AEF" w14:textId="77777777" w:rsidR="00445AD6" w:rsidRDefault="00445AD6" w:rsidP="00445AD6">
      <w:pPr>
        <w:pStyle w:val="Heading5"/>
      </w:pPr>
      <w:r>
        <w:t>Mobile applications</w:t>
      </w:r>
    </w:p>
    <w:p w14:paraId="746E250C" w14:textId="77777777" w:rsidR="00445AD6" w:rsidRDefault="00F86BB3" w:rsidP="00445AD6">
      <w:r>
        <w:t>M</w:t>
      </w:r>
      <w:r w:rsidR="00445AD6">
        <w:t xml:space="preserve">obile applications have used the interactive geo-locating features of Google maps to create platforms for the recording and sharing the heritage of places in Port Phillip, allowing users to generate content and tours and share with other uses of the sites. </w:t>
      </w:r>
      <w:r w:rsidR="005A5BB3">
        <w:t xml:space="preserve"> </w:t>
      </w:r>
      <w:r w:rsidR="00445AD6">
        <w:t xml:space="preserve">Content can include photos, videos and narrative memory.  The consequence is an evolving snapshot of places that are significant for the users of the application, acting as a digital place to record and memorialise. </w:t>
      </w:r>
    </w:p>
    <w:p w14:paraId="409031B9" w14:textId="0FEBC1B8" w:rsidR="001E2F6E" w:rsidRDefault="00445AD6" w:rsidP="001E2F6E">
      <w:r>
        <w:t xml:space="preserve">An academic-led version is the </w:t>
      </w:r>
      <w:r w:rsidRPr="00F86BB3">
        <w:t>PastPort Project</w:t>
      </w:r>
      <w:r w:rsidR="00A02760" w:rsidRPr="00A02760">
        <w:t xml:space="preserve">, </w:t>
      </w:r>
      <w:r w:rsidRPr="00A02760">
        <w:t>a</w:t>
      </w:r>
      <w:r>
        <w:t xml:space="preserve"> mobile application that was developed as a platform to share the history and memories of life in Port Melbourne.</w:t>
      </w:r>
      <w:r w:rsidR="00F86BB3">
        <w:rPr>
          <w:rStyle w:val="FootnoteReference"/>
        </w:rPr>
        <w:footnoteReference w:id="13"/>
      </w:r>
      <w:r>
        <w:t xml:space="preserve">  </w:t>
      </w:r>
      <w:r w:rsidR="00F86BB3">
        <w:t>PastPort</w:t>
      </w:r>
      <w:r>
        <w:t xml:space="preserve"> is a collaborative project between the University of Melbourne, Deakin University</w:t>
      </w:r>
      <w:r w:rsidR="00F86BB3">
        <w:t xml:space="preserve"> </w:t>
      </w:r>
      <w:r>
        <w:t xml:space="preserve">and </w:t>
      </w:r>
      <w:r w:rsidR="00A02760">
        <w:t>the CoPP</w:t>
      </w:r>
      <w:r w:rsidR="00F86BB3">
        <w:t xml:space="preserve"> </w:t>
      </w:r>
      <w:r>
        <w:t xml:space="preserve">funded by the Australian Research Council.  </w:t>
      </w:r>
      <w:r w:rsidR="00A02760">
        <w:t xml:space="preserve">Places </w:t>
      </w:r>
      <w:r w:rsidR="00F73CF7">
        <w:t xml:space="preserve">and people </w:t>
      </w:r>
      <w:r w:rsidR="00A02760" w:rsidRPr="00A02760">
        <w:t xml:space="preserve">identified by members of the community include the </w:t>
      </w:r>
      <w:r w:rsidRPr="00A02760">
        <w:t xml:space="preserve">Sagamore Industries </w:t>
      </w:r>
      <w:r w:rsidR="00A02760" w:rsidRPr="00A02760">
        <w:t xml:space="preserve">painted </w:t>
      </w:r>
      <w:r w:rsidRPr="00A02760">
        <w:t>sign on Lalor Street</w:t>
      </w:r>
      <w:r w:rsidR="00F86BB3">
        <w:t>, Port Melbourne</w:t>
      </w:r>
      <w:r w:rsidR="001E2F6E">
        <w:t xml:space="preserve">, </w:t>
      </w:r>
      <w:r w:rsidRPr="00A02760">
        <w:t xml:space="preserve">and the story of Sister </w:t>
      </w:r>
      <w:r w:rsidR="00F86BB3">
        <w:t>E</w:t>
      </w:r>
      <w:r w:rsidRPr="00A02760">
        <w:t xml:space="preserve"> J, Hall, that has been uploaded to the Melbourne City Mission site on Bay Street</w:t>
      </w:r>
      <w:r w:rsidR="00F86BB3">
        <w:t>.</w:t>
      </w:r>
    </w:p>
    <w:p w14:paraId="395206A8" w14:textId="1E63EDCA" w:rsidR="001B0CC6" w:rsidRDefault="001E2F6E" w:rsidP="001B0CC6">
      <w:r w:rsidRPr="005D7874">
        <w:t>Places in the CoPP are also included in The History Pin website, which uses the same style of geo-tagged interactive map.</w:t>
      </w:r>
      <w:r w:rsidRPr="005D7874">
        <w:rPr>
          <w:rStyle w:val="FootnoteReference"/>
        </w:rPr>
        <w:footnoteReference w:id="14"/>
      </w:r>
      <w:r>
        <w:t xml:space="preserve">  Users can refine the search to include specific eras or search by suburb and key word.  The Emerald Hill Heritage Centre has uploaded and tagged </w:t>
      </w:r>
      <w:r w:rsidR="005D7874">
        <w:t>extracts from its</w:t>
      </w:r>
      <w:r>
        <w:t xml:space="preserve"> collection </w:t>
      </w:r>
      <w:r w:rsidR="005D7874">
        <w:t xml:space="preserve">of historic </w:t>
      </w:r>
      <w:r w:rsidR="005D7874" w:rsidRPr="001B0CC6">
        <w:t xml:space="preserve">photography </w:t>
      </w:r>
      <w:r w:rsidR="007E1FF5" w:rsidRPr="001B0CC6">
        <w:t>(</w:t>
      </w:r>
      <w:r w:rsidR="007E1FF5" w:rsidRPr="001B0CC6">
        <w:fldChar w:fldCharType="begin"/>
      </w:r>
      <w:r w:rsidR="007E1FF5" w:rsidRPr="001B0CC6">
        <w:instrText xml:space="preserve"> REF _Ref520383031 \h </w:instrText>
      </w:r>
      <w:r w:rsidR="001B0CC6">
        <w:instrText xml:space="preserve"> \* MERGEFORMAT </w:instrText>
      </w:r>
      <w:r w:rsidR="007E1FF5" w:rsidRPr="001B0CC6">
        <w:fldChar w:fldCharType="separate"/>
      </w:r>
      <w:r w:rsidR="003E105F">
        <w:t>Figure 3</w:t>
      </w:r>
      <w:r w:rsidR="007E1FF5" w:rsidRPr="001B0CC6">
        <w:fldChar w:fldCharType="end"/>
      </w:r>
      <w:r w:rsidR="007E1FF5" w:rsidRPr="001B0CC6">
        <w:t xml:space="preserve">) </w:t>
      </w:r>
      <w:r w:rsidR="001D63F2" w:rsidRPr="001B0CC6">
        <w:t xml:space="preserve">while </w:t>
      </w:r>
      <w:r w:rsidRPr="001B0CC6">
        <w:t>other user</w:t>
      </w:r>
      <w:r w:rsidR="001D63F2" w:rsidRPr="001B0CC6">
        <w:t>s</w:t>
      </w:r>
      <w:r w:rsidRPr="001B0CC6">
        <w:t xml:space="preserve"> have uploaded more person</w:t>
      </w:r>
      <w:r w:rsidR="001D63F2" w:rsidRPr="001B0CC6">
        <w:t>al</w:t>
      </w:r>
      <w:r w:rsidRPr="001B0CC6">
        <w:t xml:space="preserve"> memories, such as a family photograph taken outside a house in St Kilda.</w:t>
      </w:r>
    </w:p>
    <w:p w14:paraId="2F751DE9" w14:textId="77777777" w:rsidR="001A6383" w:rsidRDefault="001A6383" w:rsidP="001A6383">
      <w:pPr>
        <w:pStyle w:val="Heading5"/>
      </w:pPr>
      <w:r>
        <w:lastRenderedPageBreak/>
        <w:t>Websites</w:t>
      </w:r>
    </w:p>
    <w:p w14:paraId="2C2C1571" w14:textId="21566A13" w:rsidR="001A6383" w:rsidRPr="001B0CC6" w:rsidRDefault="001A6383" w:rsidP="001B0CC6">
      <w:r>
        <w:t xml:space="preserve">Another example of a website using this style of interactive map and tour of place-based heritage is the </w:t>
      </w:r>
      <w:r w:rsidRPr="001D63F2">
        <w:t>St Kilda Jazz Tour</w:t>
      </w:r>
      <w:r>
        <w:t>.</w:t>
      </w:r>
      <w:r>
        <w:rPr>
          <w:rStyle w:val="FootnoteReference"/>
        </w:rPr>
        <w:footnoteReference w:id="15"/>
      </w:r>
      <w:r>
        <w:t xml:space="preserve">  Established by local jazz enthusiast Kaye Blum, the St Kilda Jazz tour encourages contributions from community members including images and stories via its Facebook page or Instagram.  The site includes mapping for different eras, which are tagged with the locations of venues, demolished and extant (</w:t>
      </w:r>
      <w:r>
        <w:fldChar w:fldCharType="begin"/>
      </w:r>
      <w:r>
        <w:instrText xml:space="preserve"> REF _Ref520205556 \h </w:instrText>
      </w:r>
      <w:r>
        <w:fldChar w:fldCharType="separate"/>
      </w:r>
      <w:r w:rsidR="003E105F">
        <w:t xml:space="preserve">Figure </w:t>
      </w:r>
      <w:r w:rsidR="003E105F">
        <w:rPr>
          <w:noProof/>
        </w:rPr>
        <w:t>4</w:t>
      </w:r>
      <w:r>
        <w:fldChar w:fldCharType="end"/>
      </w:r>
      <w:r>
        <w:t xml:space="preserve">).  Each venue has a page that includes historic photos, videos and ephemera as well as a written description of the site’s history.  Examples include St Moritz (formerly the Wattle Path Palais de Danse) and </w:t>
      </w:r>
      <w:r w:rsidRPr="00D968CC">
        <w:t>Earls Court</w:t>
      </w:r>
      <w:r>
        <w:t xml:space="preserve"> on the Esplande.  St Moritz was demolished following a fire in 1982.  </w:t>
      </w:r>
    </w:p>
    <w:p w14:paraId="3EDEEA1A" w14:textId="2A9A9E37" w:rsidR="00475C19" w:rsidRPr="007E1FF5" w:rsidRDefault="007E1FF5" w:rsidP="007E1FF5">
      <w:pPr>
        <w:pStyle w:val="Figure"/>
      </w:pPr>
      <w:bookmarkStart w:id="29" w:name="_Ref519000044"/>
      <w:r>
        <w:rPr>
          <w:noProof/>
          <w:lang w:eastAsia="en-AU"/>
        </w:rPr>
        <w:drawing>
          <wp:inline distT="0" distB="0" distL="0" distR="0" wp14:anchorId="08B47881" wp14:editId="7F7076AB">
            <wp:extent cx="5399237" cy="2107344"/>
            <wp:effectExtent l="0" t="0" r="0" b="7620"/>
            <wp:docPr id="3" name="Picture 3" descr="Interactive geolocation mapping linked to the Emerald Hill Heritage Centre's collection&#10;Source: History Pin ‘Port Phillip’, Victoria, www.historypin.org, accessed 24 July 2018" title="Interactive geolocation mapping linked to the Emerald Hill Heritage Centre's col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3565" t="21018" r="6573" b="23567"/>
                    <a:stretch/>
                  </pic:blipFill>
                  <pic:spPr bwMode="auto">
                    <a:xfrm>
                      <a:off x="0" y="0"/>
                      <a:ext cx="5400000" cy="2107642"/>
                    </a:xfrm>
                    <a:prstGeom prst="rect">
                      <a:avLst/>
                    </a:prstGeom>
                    <a:ln>
                      <a:noFill/>
                    </a:ln>
                    <a:extLst>
                      <a:ext uri="{53640926-AAD7-44D8-BBD7-CCE9431645EC}">
                        <a14:shadowObscured xmlns:a14="http://schemas.microsoft.com/office/drawing/2010/main"/>
                      </a:ext>
                    </a:extLst>
                  </pic:spPr>
                </pic:pic>
              </a:graphicData>
            </a:graphic>
          </wp:inline>
        </w:drawing>
      </w:r>
    </w:p>
    <w:p w14:paraId="2BF3D945" w14:textId="4FF70F5C" w:rsidR="00F86BB3" w:rsidRDefault="001E2F6E" w:rsidP="00835404">
      <w:pPr>
        <w:pStyle w:val="Caption"/>
      </w:pPr>
      <w:bookmarkStart w:id="30" w:name="_Ref520383031"/>
      <w:r>
        <w:t xml:space="preserve">Figure </w:t>
      </w:r>
      <w:r w:rsidR="00B71F81">
        <w:rPr>
          <w:noProof/>
        </w:rPr>
        <w:fldChar w:fldCharType="begin"/>
      </w:r>
      <w:r w:rsidR="00B71F81">
        <w:rPr>
          <w:noProof/>
        </w:rPr>
        <w:instrText xml:space="preserve"> SEQ Figure \* ARABIC </w:instrText>
      </w:r>
      <w:r w:rsidR="00B71F81">
        <w:rPr>
          <w:noProof/>
        </w:rPr>
        <w:fldChar w:fldCharType="separate"/>
      </w:r>
      <w:r w:rsidR="003E105F">
        <w:rPr>
          <w:noProof/>
        </w:rPr>
        <w:t>3</w:t>
      </w:r>
      <w:r w:rsidR="00B71F81">
        <w:rPr>
          <w:noProof/>
        </w:rPr>
        <w:fldChar w:fldCharType="end"/>
      </w:r>
      <w:bookmarkEnd w:id="29"/>
      <w:bookmarkEnd w:id="30"/>
      <w:r>
        <w:tab/>
      </w:r>
      <w:r w:rsidR="00475C19">
        <w:t xml:space="preserve">Interactive geolocation mapping linked to the </w:t>
      </w:r>
      <w:r w:rsidR="00835404">
        <w:t>E</w:t>
      </w:r>
      <w:r w:rsidR="00835404" w:rsidRPr="00475C19">
        <w:t xml:space="preserve">merald Hill Heritage Centre's </w:t>
      </w:r>
      <w:r w:rsidR="00835404">
        <w:t>c</w:t>
      </w:r>
      <w:r w:rsidR="00835404" w:rsidRPr="00475C19">
        <w:t>ollection</w:t>
      </w:r>
    </w:p>
    <w:p w14:paraId="5A75B442" w14:textId="5CACC4CE" w:rsidR="00B24214" w:rsidRDefault="001E2F6E" w:rsidP="001A6383">
      <w:pPr>
        <w:pStyle w:val="Figuresource"/>
      </w:pPr>
      <w:r>
        <w:t xml:space="preserve">Source: </w:t>
      </w:r>
      <w:r w:rsidR="005C681E" w:rsidRPr="005C681E">
        <w:t>History Pin</w:t>
      </w:r>
      <w:r w:rsidR="005F3C91">
        <w:t xml:space="preserve"> ‘Port Phi</w:t>
      </w:r>
      <w:r w:rsidR="00475C19">
        <w:t>l</w:t>
      </w:r>
      <w:r w:rsidR="005F3C91">
        <w:t>lip</w:t>
      </w:r>
      <w:r w:rsidR="00475C19">
        <w:t>’</w:t>
      </w:r>
      <w:r w:rsidR="005F3C91">
        <w:t>, Victoria</w:t>
      </w:r>
      <w:r w:rsidR="005C681E" w:rsidRPr="005C681E">
        <w:t xml:space="preserve">, </w:t>
      </w:r>
      <w:hyperlink r:id="rId17" w:history="1">
        <w:r w:rsidR="005C681E" w:rsidRPr="005C681E">
          <w:rPr>
            <w:rStyle w:val="Hyperlink"/>
            <w:sz w:val="20"/>
          </w:rPr>
          <w:t>www.historypin.org</w:t>
        </w:r>
      </w:hyperlink>
      <w:r w:rsidR="005C681E" w:rsidRPr="005C681E">
        <w:rPr>
          <w:rStyle w:val="Hyperlink"/>
          <w:sz w:val="20"/>
        </w:rPr>
        <w:t xml:space="preserve">, </w:t>
      </w:r>
      <w:r w:rsidRPr="005C681E">
        <w:t xml:space="preserve">accessed </w:t>
      </w:r>
      <w:r w:rsidR="00475C19">
        <w:t>24</w:t>
      </w:r>
      <w:r w:rsidRPr="005C681E">
        <w:t xml:space="preserve"> July 2018</w:t>
      </w:r>
    </w:p>
    <w:p w14:paraId="341B6695" w14:textId="77777777" w:rsidR="001A6383" w:rsidRPr="00B24214" w:rsidRDefault="001A6383" w:rsidP="00B24214"/>
    <w:p w14:paraId="015EF9CB" w14:textId="33A18B4E" w:rsidR="007A0493" w:rsidRPr="007A0493" w:rsidRDefault="00A61BC7" w:rsidP="007A0493">
      <w:pPr>
        <w:pStyle w:val="Figure"/>
      </w:pPr>
      <w:r>
        <w:rPr>
          <w:noProof/>
          <w:lang w:eastAsia="en-AU"/>
        </w:rPr>
        <w:drawing>
          <wp:inline distT="0" distB="0" distL="0" distR="0" wp14:anchorId="0B478B49" wp14:editId="0244631F">
            <wp:extent cx="5400000" cy="2964303"/>
            <wp:effectExtent l="0" t="0" r="0" b="7620"/>
            <wp:docPr id="13" name="Picture 13" descr="Source: St Kilda Jazz Tour (Port Phillip City Collection)&#10;" title="Map showing Dance halls and ballrooms in St Kilda, 1920s-5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0522" t="16176" r="24776" b="30438"/>
                    <a:stretch/>
                  </pic:blipFill>
                  <pic:spPr bwMode="auto">
                    <a:xfrm>
                      <a:off x="0" y="0"/>
                      <a:ext cx="5400000" cy="2964303"/>
                    </a:xfrm>
                    <a:prstGeom prst="rect">
                      <a:avLst/>
                    </a:prstGeom>
                    <a:ln>
                      <a:noFill/>
                    </a:ln>
                    <a:extLst>
                      <a:ext uri="{53640926-AAD7-44D8-BBD7-CCE9431645EC}">
                        <a14:shadowObscured xmlns:a14="http://schemas.microsoft.com/office/drawing/2010/main"/>
                      </a:ext>
                    </a:extLst>
                  </pic:spPr>
                </pic:pic>
              </a:graphicData>
            </a:graphic>
          </wp:inline>
        </w:drawing>
      </w:r>
    </w:p>
    <w:p w14:paraId="0EAFF84B" w14:textId="66EEF133" w:rsidR="00A61BC7" w:rsidRPr="00FC0D63" w:rsidRDefault="00A61BC7" w:rsidP="00A61BC7">
      <w:pPr>
        <w:pStyle w:val="Caption"/>
      </w:pPr>
      <w:bookmarkStart w:id="31" w:name="_Ref520205556"/>
      <w:bookmarkStart w:id="32" w:name="_Ref519779015"/>
      <w:r>
        <w:t xml:space="preserve">Figure </w:t>
      </w:r>
      <w:r>
        <w:rPr>
          <w:noProof/>
        </w:rPr>
        <w:fldChar w:fldCharType="begin"/>
      </w:r>
      <w:r>
        <w:rPr>
          <w:noProof/>
        </w:rPr>
        <w:instrText xml:space="preserve"> SEQ Figure \* ARABIC </w:instrText>
      </w:r>
      <w:r>
        <w:rPr>
          <w:noProof/>
        </w:rPr>
        <w:fldChar w:fldCharType="separate"/>
      </w:r>
      <w:r w:rsidR="003E105F">
        <w:rPr>
          <w:noProof/>
        </w:rPr>
        <w:t>4</w:t>
      </w:r>
      <w:r>
        <w:rPr>
          <w:noProof/>
        </w:rPr>
        <w:fldChar w:fldCharType="end"/>
      </w:r>
      <w:bookmarkEnd w:id="31"/>
      <w:r>
        <w:tab/>
      </w:r>
      <w:r w:rsidR="00642C98">
        <w:t>Dance halls and ballrooms in St Kilda, 1920s-50s</w:t>
      </w:r>
      <w:bookmarkEnd w:id="32"/>
    </w:p>
    <w:p w14:paraId="0FD52054" w14:textId="1FE0B9AA" w:rsidR="00A61BC7" w:rsidRDefault="00A61BC7" w:rsidP="00A61BC7">
      <w:pPr>
        <w:pStyle w:val="Figuresource"/>
      </w:pPr>
      <w:r>
        <w:t xml:space="preserve">Source: </w:t>
      </w:r>
      <w:r w:rsidRPr="001D63F2">
        <w:t>St Kilda Jazz Tour</w:t>
      </w:r>
      <w:r>
        <w:t xml:space="preserve"> (</w:t>
      </w:r>
      <w:r w:rsidRPr="00FC0D63">
        <w:t>Port Phillip City Collection</w:t>
      </w:r>
      <w:r>
        <w:t>)</w:t>
      </w:r>
    </w:p>
    <w:p w14:paraId="1AEBD525" w14:textId="645C9CB1" w:rsidR="007A0493" w:rsidRDefault="007A0493" w:rsidP="007A0493"/>
    <w:p w14:paraId="5CE0F5AE" w14:textId="78289E78" w:rsidR="00E221F2" w:rsidRDefault="003C6279" w:rsidP="00A93E1C">
      <w:pPr>
        <w:pStyle w:val="Heading1"/>
      </w:pPr>
      <w:bookmarkStart w:id="33" w:name="_Ref518986366"/>
      <w:bookmarkStart w:id="34" w:name="_Ref519600299"/>
      <w:bookmarkStart w:id="35" w:name="_Toc522766144"/>
      <w:r w:rsidRPr="003C6279">
        <w:lastRenderedPageBreak/>
        <w:t>Project cont</w:t>
      </w:r>
      <w:r w:rsidR="008A573A">
        <w:t xml:space="preserve">ext </w:t>
      </w:r>
      <w:r w:rsidR="0021463C">
        <w:t>– community</w:t>
      </w:r>
      <w:bookmarkEnd w:id="33"/>
      <w:r w:rsidR="00A52244">
        <w:t>-centred planning</w:t>
      </w:r>
      <w:bookmarkEnd w:id="34"/>
      <w:bookmarkEnd w:id="35"/>
      <w:r w:rsidR="00A52244">
        <w:t xml:space="preserve"> </w:t>
      </w:r>
    </w:p>
    <w:p w14:paraId="69D91C02" w14:textId="29A45698" w:rsidR="00EB141D" w:rsidRDefault="005A3229" w:rsidP="00762465">
      <w:r>
        <w:t>The Heritage Program has been initiated at a time of significant change in the framing and practice of heritage</w:t>
      </w:r>
      <w:r w:rsidR="00D11924">
        <w:t xml:space="preserve"> in Australia and overseas</w:t>
      </w:r>
      <w:r w:rsidR="00136544">
        <w:t xml:space="preserve">, </w:t>
      </w:r>
      <w:r w:rsidR="006841FA">
        <w:t xml:space="preserve">with </w:t>
      </w:r>
      <w:r w:rsidR="00136544">
        <w:t>an increased focus on enhancing the role of community groups in local planning</w:t>
      </w:r>
      <w:r w:rsidR="00D11924">
        <w:t xml:space="preserve">. </w:t>
      </w:r>
      <w:r w:rsidR="002A0C4B">
        <w:t xml:space="preserve"> </w:t>
      </w:r>
      <w:r w:rsidR="00EB141D">
        <w:t xml:space="preserve">Two recent, and on-going, initiatives of relevance to the Heritage Program are: aspects of the </w:t>
      </w:r>
      <w:r w:rsidR="00EB141D" w:rsidRPr="00F7508D">
        <w:rPr>
          <w:i/>
        </w:rPr>
        <w:t>Localism Act 2011</w:t>
      </w:r>
      <w:r w:rsidR="00EB141D">
        <w:t xml:space="preserve"> (</w:t>
      </w:r>
      <w:r w:rsidR="006C5727">
        <w:t>UK</w:t>
      </w:r>
      <w:r w:rsidR="00EB141D">
        <w:t xml:space="preserve">), particularly Neighbourhood Development Plans and Registers of Community Assets (see Section </w:t>
      </w:r>
      <w:r w:rsidR="00EB141D">
        <w:fldChar w:fldCharType="begin"/>
      </w:r>
      <w:r w:rsidR="00EB141D">
        <w:instrText xml:space="preserve"> REF _Ref519779439 \r \h </w:instrText>
      </w:r>
      <w:r w:rsidR="00762465">
        <w:instrText xml:space="preserve"> \* MERGEFORMAT </w:instrText>
      </w:r>
      <w:r w:rsidR="00EB141D">
        <w:fldChar w:fldCharType="separate"/>
      </w:r>
      <w:r w:rsidR="003E105F">
        <w:t>3.1</w:t>
      </w:r>
      <w:r w:rsidR="00EB141D">
        <w:fldChar w:fldCharType="end"/>
      </w:r>
      <w:r w:rsidR="00EB141D">
        <w:t xml:space="preserve">); and the </w:t>
      </w:r>
      <w:r w:rsidR="00EB141D" w:rsidRPr="002A0C4B">
        <w:t>United Nations Educational, Scientific and Cultural Organization</w:t>
      </w:r>
      <w:r w:rsidR="00EB141D">
        <w:t xml:space="preserve">’s (UNESCO) Recommendation on the Historic Urban Landscape, also 2011 (see Section </w:t>
      </w:r>
      <w:r w:rsidR="00EB141D">
        <w:fldChar w:fldCharType="begin"/>
      </w:r>
      <w:r w:rsidR="00EB141D">
        <w:instrText xml:space="preserve"> REF _Ref519779480 \r \h </w:instrText>
      </w:r>
      <w:r w:rsidR="00762465">
        <w:instrText xml:space="preserve"> \* MERGEFORMAT </w:instrText>
      </w:r>
      <w:r w:rsidR="00EB141D">
        <w:fldChar w:fldCharType="separate"/>
      </w:r>
      <w:r w:rsidR="003E105F">
        <w:t>0</w:t>
      </w:r>
      <w:r w:rsidR="00EB141D">
        <w:fldChar w:fldCharType="end"/>
      </w:r>
      <w:r w:rsidR="00EB141D">
        <w:t xml:space="preserve">). </w:t>
      </w:r>
    </w:p>
    <w:p w14:paraId="6A167A5F" w14:textId="02633212" w:rsidR="000A6021" w:rsidRDefault="000A6021" w:rsidP="000A6021">
      <w:pPr>
        <w:pStyle w:val="Heading2"/>
      </w:pPr>
      <w:bookmarkStart w:id="36" w:name="_Ref519779396"/>
      <w:bookmarkStart w:id="37" w:name="_Ref519779439"/>
      <w:bookmarkStart w:id="38" w:name="_Toc522766145"/>
      <w:r w:rsidRPr="003126DE">
        <w:rPr>
          <w:i/>
        </w:rPr>
        <w:t>Localism Act</w:t>
      </w:r>
      <w:r>
        <w:rPr>
          <w:i/>
        </w:rPr>
        <w:t xml:space="preserve"> </w:t>
      </w:r>
      <w:r w:rsidRPr="003126DE">
        <w:rPr>
          <w:i/>
        </w:rPr>
        <w:t>2011</w:t>
      </w:r>
      <w:r>
        <w:t xml:space="preserve"> (</w:t>
      </w:r>
      <w:r w:rsidR="006C5727">
        <w:t>UK</w:t>
      </w:r>
      <w:r>
        <w:t>)</w:t>
      </w:r>
      <w:bookmarkEnd w:id="36"/>
      <w:bookmarkEnd w:id="37"/>
      <w:bookmarkEnd w:id="38"/>
    </w:p>
    <w:p w14:paraId="5E18E17B" w14:textId="24108FCF" w:rsidR="000A6021" w:rsidRDefault="000A6021" w:rsidP="00762465">
      <w:r>
        <w:t xml:space="preserve">The </w:t>
      </w:r>
      <w:r w:rsidRPr="000A6021">
        <w:rPr>
          <w:i/>
        </w:rPr>
        <w:t>Localism Act 2011</w:t>
      </w:r>
      <w:r>
        <w:t xml:space="preserve"> is an experiment in decentralising planning powers from central government to local government and community groups</w:t>
      </w:r>
      <w:r w:rsidR="00F27BE2">
        <w:t xml:space="preserve"> in England and Wales</w:t>
      </w:r>
      <w:r>
        <w:t>.</w:t>
      </w:r>
      <w:r w:rsidR="00F27BE2">
        <w:rPr>
          <w:rStyle w:val="FootnoteReference"/>
        </w:rPr>
        <w:footnoteReference w:id="16"/>
      </w:r>
      <w:r>
        <w:t xml:space="preserve"> While its objectives are broad, and it is not explicitly driven by heritage considerations, the application of the Act does have heritage dimensions</w:t>
      </w:r>
      <w:r w:rsidR="00F643A7">
        <w:t xml:space="preserve"> (discussed below)</w:t>
      </w:r>
      <w:r>
        <w:t xml:space="preserve">.  </w:t>
      </w:r>
    </w:p>
    <w:p w14:paraId="381B0FDF" w14:textId="4B8ABE20" w:rsidR="000A6021" w:rsidRDefault="000A6021" w:rsidP="00762465">
      <w:r>
        <w:t>Among the provisions of the Act is the establishment of neighbourhood planning regulations, which enable community groups to formulate their own statutory land use planning policies in the form of Neighbourhood Development Plans (NDP).  Neighbourhood planning has described by the British Government as follows:</w:t>
      </w:r>
    </w:p>
    <w:p w14:paraId="013CBA2D" w14:textId="77777777" w:rsidR="000A6021" w:rsidRDefault="000A6021" w:rsidP="000A6021">
      <w:pPr>
        <w:pStyle w:val="Quotation"/>
      </w:pPr>
      <w:r>
        <w:t>[It provides] communities [with] direct power to develop a shared vision for their neighbourhood and [to] deliver the sustainable development they need.  Parishes and neighbourhood forums can use neighbourhood planning to set policies through neighbourhood plans to determine decisions on planning applications … Neighbourhood planning provides a powerful set of tools for local people to ensure that they get the right types of development for their community.</w:t>
      </w:r>
      <w:r>
        <w:rPr>
          <w:rStyle w:val="FootnoteReference"/>
        </w:rPr>
        <w:footnoteReference w:id="17"/>
      </w:r>
    </w:p>
    <w:p w14:paraId="4EDDBB45" w14:textId="40BACF62" w:rsidR="00604F90" w:rsidRDefault="00604F90" w:rsidP="00604F90">
      <w:r>
        <w:t xml:space="preserve">Neighbourhood planning is a </w:t>
      </w:r>
      <w:r w:rsidR="00656373">
        <w:t xml:space="preserve">voluntary </w:t>
      </w:r>
      <w:r>
        <w:t xml:space="preserve">public participatory exercise.  The model enables groups (or forums) that are recognised as representing the interests of a community to develop a communal vision for a neighbourhood/area, identify preferred locations for new development, protect valued community assets, including green space, and to influence the appearance and character of new development.  Mechanisms exist for an NDP to become a statutory document.  </w:t>
      </w:r>
    </w:p>
    <w:p w14:paraId="4A7FFAEE" w14:textId="7B62EE41" w:rsidR="00604F90" w:rsidRDefault="00604F90" w:rsidP="00656373">
      <w:r>
        <w:t xml:space="preserve">There have been </w:t>
      </w:r>
      <w:r w:rsidR="00656373">
        <w:t xml:space="preserve">multiple </w:t>
      </w:r>
      <w:r>
        <w:t xml:space="preserve">challenges with the </w:t>
      </w:r>
      <w:r w:rsidR="001359E2">
        <w:t xml:space="preserve">implementation of neighbourhood planning.  </w:t>
      </w:r>
      <w:r>
        <w:t>The premise assumes tha</w:t>
      </w:r>
      <w:r w:rsidR="00592E57">
        <w:t>t</w:t>
      </w:r>
      <w:r>
        <w:t xml:space="preserve"> </w:t>
      </w:r>
      <w:r w:rsidR="00592E57">
        <w:t>people</w:t>
      </w:r>
      <w:r>
        <w:t xml:space="preserve"> have </w:t>
      </w:r>
      <w:r w:rsidR="001359E2">
        <w:t xml:space="preserve">the </w:t>
      </w:r>
      <w:r>
        <w:t>time and capacity to invest in planning</w:t>
      </w:r>
      <w:r w:rsidR="001359E2">
        <w:t xml:space="preserve">, and a </w:t>
      </w:r>
      <w:r>
        <w:t>willingness to intera</w:t>
      </w:r>
      <w:r w:rsidR="001359E2">
        <w:t xml:space="preserve">ct to achieve communal outcomes.  </w:t>
      </w:r>
      <w:r w:rsidR="000F20F3">
        <w:t xml:space="preserve">In practice, there has been an early predominance of take-up by rural communities, dominated by middle-class and aged communities, with urban and deprived communities being much slower to engage.  </w:t>
      </w:r>
      <w:r w:rsidR="00656373">
        <w:t>Self-selection of neighbourhood planning groups is another issue, with the proposition favouring the better educated.  Other issues include resentment of unelected bodies representing a neighbourhood/area, and varying degrees of support from local authorities.</w:t>
      </w:r>
      <w:r w:rsidR="001359E2">
        <w:rPr>
          <w:rStyle w:val="FootnoteReference"/>
        </w:rPr>
        <w:footnoteReference w:id="18"/>
      </w:r>
    </w:p>
    <w:p w14:paraId="499C1244" w14:textId="0B31395A" w:rsidR="00592E57" w:rsidRDefault="00656373" w:rsidP="00656373">
      <w:r>
        <w:t xml:space="preserve">By 2016, 1,908 communities in England </w:t>
      </w:r>
      <w:r w:rsidR="00592E57">
        <w:t xml:space="preserve">and Wales </w:t>
      </w:r>
      <w:r>
        <w:t xml:space="preserve">had embarked upon </w:t>
      </w:r>
      <w:r w:rsidR="00260B99">
        <w:t xml:space="preserve">a </w:t>
      </w:r>
      <w:r>
        <w:t>neighbourhood planning</w:t>
      </w:r>
      <w:r w:rsidR="00260B99">
        <w:t xml:space="preserve"> process</w:t>
      </w:r>
      <w:r>
        <w:t>, representing approximately 10 per cent of the communities that could take up the option.  Of th</w:t>
      </w:r>
      <w:r w:rsidR="00260B99">
        <w:t xml:space="preserve">ose </w:t>
      </w:r>
      <w:r>
        <w:t>communities, 245 (</w:t>
      </w:r>
      <w:r w:rsidR="000F20F3">
        <w:t>12 per</w:t>
      </w:r>
      <w:r w:rsidR="00260B99">
        <w:t xml:space="preserve"> </w:t>
      </w:r>
      <w:r w:rsidR="000F20F3">
        <w:t>cent</w:t>
      </w:r>
      <w:r w:rsidR="00592E57">
        <w:t xml:space="preserve"> of 1,908</w:t>
      </w:r>
      <w:r w:rsidR="000F20F3">
        <w:t>) had see</w:t>
      </w:r>
      <w:r w:rsidR="00260B99">
        <w:t xml:space="preserve">n </w:t>
      </w:r>
      <w:r w:rsidR="000F20F3">
        <w:t xml:space="preserve">their NDP to the </w:t>
      </w:r>
      <w:r w:rsidR="000F20F3" w:rsidRPr="00592E57">
        <w:t xml:space="preserve">point of </w:t>
      </w:r>
      <w:r w:rsidR="00260B99" w:rsidRPr="00592E57">
        <w:t>passing a referendum</w:t>
      </w:r>
      <w:r w:rsidR="00260B99">
        <w:t xml:space="preserve"> indicat</w:t>
      </w:r>
      <w:r w:rsidR="00592E57">
        <w:t xml:space="preserve">ing </w:t>
      </w:r>
      <w:r w:rsidR="00260B99">
        <w:t>majority community support (more than 50</w:t>
      </w:r>
      <w:r w:rsidR="00592E57">
        <w:t xml:space="preserve"> per cent</w:t>
      </w:r>
      <w:r w:rsidR="00260B99">
        <w:t xml:space="preserve"> of the turnout which must be at least 21 people),</w:t>
      </w:r>
      <w:r w:rsidR="00592E57">
        <w:t xml:space="preserve"> thereby giving it the same weight as other planning policies.</w:t>
      </w:r>
      <w:r w:rsidR="00592E57">
        <w:rPr>
          <w:rStyle w:val="FootnoteReference"/>
        </w:rPr>
        <w:footnoteReference w:id="19"/>
      </w:r>
    </w:p>
    <w:p w14:paraId="3649489E" w14:textId="77777777" w:rsidR="00BB077E" w:rsidRDefault="00BB077E" w:rsidP="00656373"/>
    <w:p w14:paraId="070673C2" w14:textId="3BEE0BD9" w:rsidR="000F20F3" w:rsidRDefault="000F20F3" w:rsidP="00656373">
      <w:r>
        <w:t xml:space="preserve">The dominant issue </w:t>
      </w:r>
      <w:r w:rsidR="00C73015">
        <w:t xml:space="preserve">in the majority of NDPs </w:t>
      </w:r>
      <w:r>
        <w:t>has been the control of new housing</w:t>
      </w:r>
      <w:r w:rsidRPr="00C73015">
        <w:t>, although heritage has been a factor</w:t>
      </w:r>
      <w:r w:rsidR="00C73015">
        <w:t>, as noted in a 2016</w:t>
      </w:r>
      <w:r w:rsidR="00C73015" w:rsidRPr="00C73015">
        <w:t xml:space="preserve"> </w:t>
      </w:r>
      <w:r w:rsidR="00BB077E">
        <w:t xml:space="preserve">review </w:t>
      </w:r>
      <w:r w:rsidR="00C73015" w:rsidRPr="005A5978">
        <w:t>of Neighbourhood Planning in England</w:t>
      </w:r>
      <w:r w:rsidR="00C73015">
        <w:t xml:space="preserve">: </w:t>
      </w:r>
    </w:p>
    <w:p w14:paraId="55D0E67B" w14:textId="77777777" w:rsidR="00604F90" w:rsidRDefault="00604F90" w:rsidP="00604F90">
      <w:pPr>
        <w:pStyle w:val="Quotation"/>
      </w:pPr>
      <w:r>
        <w:t>Some NDPs have taken the opportunity to advance socially and environmentally sustainable solutions, to prioritise identity, heritage protection and to ensure local housing needs are met.  Thus, NDPs are adopting a different way of ‘doing’ planning with slightly more control over the type, mix and location of new development which is different from the traditional and dominant model of housebuilding in the UK.</w:t>
      </w:r>
      <w:r>
        <w:rPr>
          <w:rStyle w:val="FootnoteReference"/>
        </w:rPr>
        <w:footnoteReference w:id="20"/>
      </w:r>
    </w:p>
    <w:p w14:paraId="134D8770" w14:textId="1E3FA283" w:rsidR="000F20F3" w:rsidRDefault="000F20F3" w:rsidP="000F20F3">
      <w:r>
        <w:t xml:space="preserve">Another outcome of the </w:t>
      </w:r>
      <w:r w:rsidRPr="000F20F3">
        <w:rPr>
          <w:i/>
        </w:rPr>
        <w:t>Localism Act</w:t>
      </w:r>
      <w:r>
        <w:t xml:space="preserve"> with more explicit heritage implications is the Community Right to Bid, which allows local communities to nominate buildings or land for inclusion in the local council’s register of ‘Assets of Community Value’ (ACV).  If the place is or has previously been </w:t>
      </w:r>
      <w:r w:rsidRPr="0090342E">
        <w:t>used to further the wellbeing or social interest of the local community</w:t>
      </w:r>
      <w:r>
        <w:t xml:space="preserve"> the Council is required to include the asset in the register for five years before coming up for review.  </w:t>
      </w:r>
    </w:p>
    <w:p w14:paraId="3A55BC9E" w14:textId="669232FD" w:rsidR="003E06E5" w:rsidRDefault="000F20F3" w:rsidP="000F20F3">
      <w:r>
        <w:t xml:space="preserve">Where an asset that is included in the Council’s register is proposed for sale, </w:t>
      </w:r>
      <w:r w:rsidRPr="0090342E">
        <w:t xml:space="preserve">a six-month moratorium period is triggered during which it cannot be sold.  This gives community groups </w:t>
      </w:r>
      <w:r>
        <w:t xml:space="preserve">the </w:t>
      </w:r>
      <w:r w:rsidRPr="0090342E">
        <w:t>time to raise funds to bid for the property</w:t>
      </w:r>
      <w:r>
        <w:t xml:space="preserve"> – the vendor is not obliged to accept the community group</w:t>
      </w:r>
      <w:r w:rsidR="001C1537">
        <w:t>’</w:t>
      </w:r>
      <w:r>
        <w:t>s bid</w:t>
      </w:r>
      <w:r w:rsidRPr="0090342E">
        <w:t>.  A recent example is the Packhors</w:t>
      </w:r>
      <w:r>
        <w:t xml:space="preserve">e Inn in South Stoke, Somerset, where </w:t>
      </w:r>
      <w:r w:rsidRPr="0090342E">
        <w:t>almost 500 residents contributed to the bid t</w:t>
      </w:r>
      <w:r w:rsidR="00B46D91">
        <w:t xml:space="preserve">o purchase the </w:t>
      </w:r>
      <w:r w:rsidR="001C1537">
        <w:t xml:space="preserve">fifteenth </w:t>
      </w:r>
      <w:r w:rsidRPr="0090342E">
        <w:t>century pub from a property developer</w:t>
      </w:r>
      <w:r w:rsidR="003E06E5">
        <w:t xml:space="preserve"> (</w:t>
      </w:r>
      <w:r w:rsidR="003E06E5">
        <w:fldChar w:fldCharType="begin"/>
      </w:r>
      <w:r w:rsidR="003E06E5">
        <w:instrText xml:space="preserve"> REF _Ref520208132 \h </w:instrText>
      </w:r>
      <w:r w:rsidR="003E06E5">
        <w:fldChar w:fldCharType="separate"/>
      </w:r>
      <w:r w:rsidR="003E105F">
        <w:t xml:space="preserve">Figure </w:t>
      </w:r>
      <w:r w:rsidR="003E105F">
        <w:rPr>
          <w:noProof/>
        </w:rPr>
        <w:t>5</w:t>
      </w:r>
      <w:r w:rsidR="003E06E5">
        <w:fldChar w:fldCharType="end"/>
      </w:r>
      <w:r w:rsidR="003E06E5">
        <w:t>)</w:t>
      </w:r>
      <w:r w:rsidRPr="0090342E">
        <w:t>.</w:t>
      </w:r>
      <w:r>
        <w:rPr>
          <w:rStyle w:val="FootnoteReference"/>
        </w:rPr>
        <w:footnoteReference w:id="21"/>
      </w:r>
      <w:r>
        <w:t xml:space="preserve">  </w:t>
      </w:r>
    </w:p>
    <w:p w14:paraId="40BDFA1E" w14:textId="249D4350" w:rsidR="003E06E5" w:rsidRDefault="003E06E5" w:rsidP="003E06E5">
      <w:pPr>
        <w:pStyle w:val="Figure"/>
      </w:pPr>
      <w:r>
        <w:rPr>
          <w:noProof/>
          <w:lang w:eastAsia="en-AU"/>
        </w:rPr>
        <w:drawing>
          <wp:inline distT="0" distB="0" distL="0" distR="0" wp14:anchorId="051E1932" wp14:editId="67A4ED71">
            <wp:extent cx="5400000" cy="3405871"/>
            <wp:effectExtent l="0" t="0" r="0" b="4445"/>
            <wp:docPr id="17" name="Picture 17" descr="&#10;Source: https://www.theguardian.com, 18 March 2018, " title="The Packhorse Inn, Somerset, England, pictured in 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5890" t="5760" r="14484" b="4956"/>
                    <a:stretch/>
                  </pic:blipFill>
                  <pic:spPr bwMode="auto">
                    <a:xfrm>
                      <a:off x="0" y="0"/>
                      <a:ext cx="5400000" cy="3405871"/>
                    </a:xfrm>
                    <a:prstGeom prst="rect">
                      <a:avLst/>
                    </a:prstGeom>
                    <a:ln>
                      <a:noFill/>
                    </a:ln>
                    <a:extLst>
                      <a:ext uri="{53640926-AAD7-44D8-BBD7-CCE9431645EC}">
                        <a14:shadowObscured xmlns:a14="http://schemas.microsoft.com/office/drawing/2010/main"/>
                      </a:ext>
                    </a:extLst>
                  </pic:spPr>
                </pic:pic>
              </a:graphicData>
            </a:graphic>
          </wp:inline>
        </w:drawing>
      </w:r>
    </w:p>
    <w:p w14:paraId="402C2210" w14:textId="2D5EBA90" w:rsidR="003E06E5" w:rsidRDefault="003E06E5" w:rsidP="003E06E5">
      <w:pPr>
        <w:pStyle w:val="Caption"/>
      </w:pPr>
      <w:bookmarkStart w:id="39" w:name="_Ref520208132"/>
      <w:r>
        <w:t xml:space="preserve">Figure </w:t>
      </w:r>
      <w:r w:rsidR="00B91F9A">
        <w:rPr>
          <w:noProof/>
        </w:rPr>
        <w:fldChar w:fldCharType="begin"/>
      </w:r>
      <w:r w:rsidR="00B91F9A">
        <w:rPr>
          <w:noProof/>
        </w:rPr>
        <w:instrText xml:space="preserve"> SEQ Figure \* ARABIC </w:instrText>
      </w:r>
      <w:r w:rsidR="00B91F9A">
        <w:rPr>
          <w:noProof/>
        </w:rPr>
        <w:fldChar w:fldCharType="separate"/>
      </w:r>
      <w:r w:rsidR="003E105F">
        <w:rPr>
          <w:noProof/>
        </w:rPr>
        <w:t>5</w:t>
      </w:r>
      <w:r w:rsidR="00B91F9A">
        <w:rPr>
          <w:noProof/>
        </w:rPr>
        <w:fldChar w:fldCharType="end"/>
      </w:r>
      <w:bookmarkEnd w:id="39"/>
      <w:r>
        <w:tab/>
        <w:t>The Packhorse Inn, Somerset, England, pictured in 1965</w:t>
      </w:r>
    </w:p>
    <w:p w14:paraId="6156A45D" w14:textId="306E0F63" w:rsidR="003E06E5" w:rsidRPr="003E06E5" w:rsidRDefault="003E06E5" w:rsidP="003E06E5">
      <w:pPr>
        <w:pStyle w:val="Figuresource"/>
      </w:pPr>
      <w:r>
        <w:t xml:space="preserve">Source: </w:t>
      </w:r>
      <w:hyperlink r:id="rId20" w:history="1">
        <w:r w:rsidRPr="00224EEF">
          <w:rPr>
            <w:rStyle w:val="Hyperlink"/>
            <w:sz w:val="20"/>
          </w:rPr>
          <w:t>https://www.theguardian.com</w:t>
        </w:r>
      </w:hyperlink>
      <w:r>
        <w:t xml:space="preserve">, 18 March 2018, </w:t>
      </w:r>
    </w:p>
    <w:p w14:paraId="155045A5" w14:textId="77777777" w:rsidR="001A6383" w:rsidRDefault="001A6383" w:rsidP="000F20F3"/>
    <w:p w14:paraId="62D14AE7" w14:textId="69DE6EDF" w:rsidR="000F20F3" w:rsidRDefault="000F20F3" w:rsidP="000F20F3">
      <w:r>
        <w:lastRenderedPageBreak/>
        <w:t xml:space="preserve">As noted by Dom Moorhouse, who led the bid: </w:t>
      </w:r>
    </w:p>
    <w:p w14:paraId="1233775B" w14:textId="00E8FB5C" w:rsidR="000F20F3" w:rsidRDefault="000F20F3" w:rsidP="000F20F3">
      <w:pPr>
        <w:pStyle w:val="Quotation"/>
      </w:pPr>
      <w:r>
        <w:t xml:space="preserve">I think people got stuck in because they </w:t>
      </w:r>
      <w:r w:rsidRPr="00950547">
        <w:t xml:space="preserve">wanted to save a beautiful old building, but also because they did not want to lose a place of social connection … We’ve proved to local communities across the country what is possible and we’d love to see similar successes elsewhere. </w:t>
      </w:r>
      <w:r>
        <w:t xml:space="preserve"> </w:t>
      </w:r>
      <w:r w:rsidRPr="00950547">
        <w:t>It’s been hard work but worth the effort. It’s brought together so many people across the generations</w:t>
      </w:r>
      <w:r w:rsidR="001C1537">
        <w:t>.</w:t>
      </w:r>
      <w:r>
        <w:rPr>
          <w:rStyle w:val="FootnoteReference"/>
        </w:rPr>
        <w:footnoteReference w:id="22"/>
      </w:r>
    </w:p>
    <w:p w14:paraId="64C0DB6D" w14:textId="0EDA5981" w:rsidR="00B46D91" w:rsidRDefault="001C1537" w:rsidP="00762465">
      <w:pPr>
        <w:rPr>
          <w:bCs/>
          <w:i/>
          <w:iCs/>
        </w:rPr>
      </w:pPr>
      <w:r>
        <w:t xml:space="preserve">The </w:t>
      </w:r>
      <w:r w:rsidRPr="00762465">
        <w:rPr>
          <w:i/>
        </w:rPr>
        <w:t>Localism Act</w:t>
      </w:r>
      <w:r>
        <w:t xml:space="preserve"> also includes ‘</w:t>
      </w:r>
      <w:r w:rsidR="00B46D91" w:rsidRPr="0061721E">
        <w:t>Community Right to Reclaim Land</w:t>
      </w:r>
      <w:r>
        <w:t>’ provisions, which a</w:t>
      </w:r>
      <w:r w:rsidR="00B46D91" w:rsidRPr="001C1537">
        <w:t>llow</w:t>
      </w:r>
      <w:r w:rsidRPr="001C1537">
        <w:t xml:space="preserve"> </w:t>
      </w:r>
      <w:r w:rsidR="00B46D91" w:rsidRPr="001C1537">
        <w:t xml:space="preserve">a community to make a request to Council to sell </w:t>
      </w:r>
      <w:r w:rsidRPr="001C1537">
        <w:t xml:space="preserve">public </w:t>
      </w:r>
      <w:r w:rsidR="00B46D91" w:rsidRPr="001C1537">
        <w:t>land that is under-utilised</w:t>
      </w:r>
      <w:r>
        <w:t xml:space="preserve">, </w:t>
      </w:r>
      <w:r w:rsidRPr="001C1537">
        <w:t>and the ‘</w:t>
      </w:r>
      <w:r w:rsidR="00B46D91" w:rsidRPr="001C1537">
        <w:t>Community Right to Challenge</w:t>
      </w:r>
      <w:r w:rsidRPr="001C1537">
        <w:t>’ which p</w:t>
      </w:r>
      <w:r w:rsidR="00B46D91" w:rsidRPr="001C1537">
        <w:t>ermits community groups to require a</w:t>
      </w:r>
      <w:r w:rsidRPr="001C1537">
        <w:t xml:space="preserve"> Local Authority to</w:t>
      </w:r>
      <w:r w:rsidR="00B46D91" w:rsidRPr="001C1537">
        <w:t xml:space="preserve"> c</w:t>
      </w:r>
      <w:r w:rsidRPr="001C1537">
        <w:t>o</w:t>
      </w:r>
      <w:r w:rsidR="00B46D91" w:rsidRPr="001C1537">
        <w:t xml:space="preserve">nsider a </w:t>
      </w:r>
      <w:r>
        <w:t xml:space="preserve">community-based </w:t>
      </w:r>
      <w:r w:rsidR="00B46D91" w:rsidRPr="001C1537">
        <w:t xml:space="preserve">tender </w:t>
      </w:r>
      <w:r w:rsidRPr="001C1537">
        <w:t xml:space="preserve">to </w:t>
      </w:r>
      <w:r w:rsidR="00B46D91" w:rsidRPr="001C1537">
        <w:t>run all or part of a local ser</w:t>
      </w:r>
      <w:r>
        <w:t>v</w:t>
      </w:r>
      <w:r w:rsidR="00B46D91" w:rsidRPr="001C1537">
        <w:t>ice</w:t>
      </w:r>
      <w:r>
        <w:t xml:space="preserve">.  </w:t>
      </w:r>
    </w:p>
    <w:p w14:paraId="69A86FEB" w14:textId="0506B0F0" w:rsidR="001C1537" w:rsidRPr="001C1537" w:rsidRDefault="001C1537" w:rsidP="001C1537">
      <w:pPr>
        <w:pStyle w:val="Heading5"/>
      </w:pPr>
      <w:r>
        <w:t xml:space="preserve">Comment </w:t>
      </w:r>
    </w:p>
    <w:p w14:paraId="0AB52ECC" w14:textId="77777777" w:rsidR="00BB077E" w:rsidRPr="00762465" w:rsidRDefault="00BB077E" w:rsidP="00BB077E">
      <w:pPr>
        <w:rPr>
          <w:rFonts w:ascii="Segoe UI" w:hAnsi="Segoe UI" w:cs="Segoe UI"/>
          <w:sz w:val="21"/>
          <w:szCs w:val="21"/>
          <w:highlight w:val="yellow"/>
        </w:rPr>
      </w:pPr>
      <w:bookmarkStart w:id="40" w:name="_Ref518900783"/>
      <w:bookmarkStart w:id="41" w:name="_Ref519779480"/>
      <w:r w:rsidRPr="00762465">
        <w:t xml:space="preserve">The </w:t>
      </w:r>
      <w:r>
        <w:t xml:space="preserve">recent </w:t>
      </w:r>
      <w:r w:rsidRPr="00762465">
        <w:t xml:space="preserve">British experience </w:t>
      </w:r>
      <w:r>
        <w:t>in</w:t>
      </w:r>
      <w:r w:rsidRPr="00762465">
        <w:t xml:space="preserve"> </w:t>
      </w:r>
      <w:r>
        <w:t>devolving some planning initiatives to the local level</w:t>
      </w:r>
      <w:r w:rsidRPr="00762465">
        <w:t xml:space="preserve"> has the potential to inform the Heritage Program, notably as regards one of the key messages arising out of the community consultation campaign</w:t>
      </w:r>
      <w:r>
        <w:t>,</w:t>
      </w:r>
      <w:r w:rsidRPr="00762465">
        <w:t xml:space="preserve"> which is for an increased role for community groups in local level planning processes.  </w:t>
      </w:r>
    </w:p>
    <w:p w14:paraId="73A70C64" w14:textId="1BCB20C0" w:rsidR="00A12CF4" w:rsidRDefault="00A12CF4" w:rsidP="00A12CF4">
      <w:pPr>
        <w:pStyle w:val="Heading2"/>
      </w:pPr>
      <w:bookmarkStart w:id="42" w:name="_Ref522620930"/>
      <w:bookmarkStart w:id="43" w:name="_Toc522766146"/>
      <w:r>
        <w:t>Historic Urban Landscapes</w:t>
      </w:r>
      <w:bookmarkEnd w:id="40"/>
      <w:bookmarkEnd w:id="41"/>
      <w:bookmarkEnd w:id="42"/>
      <w:bookmarkEnd w:id="43"/>
    </w:p>
    <w:p w14:paraId="6A935648" w14:textId="1ACBCC89" w:rsidR="00A12CF4" w:rsidRDefault="00A12CF4" w:rsidP="00762465">
      <w:r>
        <w:t xml:space="preserve">The Historic Urban Landscapes (HUL) model of managing historic urban areas was developed and adopted by the UNESCO General Conference following a 2011 ‘Recommendation on the Historic Urban Landscape’.  </w:t>
      </w:r>
      <w:r w:rsidR="00E24B97">
        <w:t xml:space="preserve">The </w:t>
      </w:r>
      <w:r w:rsidR="002328F9">
        <w:t xml:space="preserve">model was developed in response to proposals for change in historic urban areas, including St Petersburg, Russia, which would have irrevocably changed the character of historic urban areas.  It is described by UNESCO as follows: </w:t>
      </w:r>
    </w:p>
    <w:p w14:paraId="0B85582F" w14:textId="77777777" w:rsidR="005C0762" w:rsidRDefault="00A12CF4" w:rsidP="00E548D1">
      <w:pPr>
        <w:pStyle w:val="Quotation"/>
      </w:pPr>
      <w:r>
        <w:t xml:space="preserve">The key to understanding and managing any historic urban environment is the recognition that the city is not a static monument or group of buildings, but subject to dynamic forces in the economic, social and cultural spheres that shaped it and keep shaping it … </w:t>
      </w:r>
      <w:r w:rsidR="00E548D1">
        <w:t xml:space="preserve"> </w:t>
      </w:r>
    </w:p>
    <w:p w14:paraId="151BEECF" w14:textId="5B19E57A" w:rsidR="00A12CF4" w:rsidRDefault="00A12CF4" w:rsidP="00E548D1">
      <w:pPr>
        <w:pStyle w:val="Quotation"/>
      </w:pPr>
      <w:r>
        <w:t>UNESCO’s approach to managing historic urban landscapes is holistic; it integrates the goals of urban heritage conservation and those of social and economic development.  This method sees urban heritage as a social, cultural and economic asset for the development of cities.</w:t>
      </w:r>
    </w:p>
    <w:p w14:paraId="6BA53A10" w14:textId="627176DC" w:rsidR="00A72CD4" w:rsidRDefault="00A12CF4" w:rsidP="00A12CF4">
      <w:pPr>
        <w:pStyle w:val="Quotation"/>
      </w:pPr>
      <w:r>
        <w:t xml:space="preserve">The recommendation on the Historic Urban Landscape was adopted on 10 November 2011 by UNESCO’s General Conference. </w:t>
      </w:r>
      <w:r w:rsidR="002328F9">
        <w:t xml:space="preserve"> </w:t>
      </w:r>
      <w:r>
        <w:t>The historic urban landscape approach moves beyond the preservation of the physical environment</w:t>
      </w:r>
      <w:r w:rsidR="00FC528C">
        <w:t xml:space="preserve"> </w:t>
      </w:r>
      <w:r>
        <w:t xml:space="preserve">and focuses on the entire human environment with all of its tangible and intangible qualities. </w:t>
      </w:r>
      <w:r w:rsidR="002328F9">
        <w:t xml:space="preserve"> </w:t>
      </w:r>
      <w:r>
        <w:t xml:space="preserve">It seeks to increase the sustainability of planning and design interventions by taking into account the existing built environment, intangible heritage, cultural diversity, socio-economic and environmental factors along with local community values. </w:t>
      </w:r>
      <w:r>
        <w:rPr>
          <w:rStyle w:val="FootnoteReference"/>
        </w:rPr>
        <w:footnoteReference w:id="23"/>
      </w:r>
    </w:p>
    <w:p w14:paraId="259EF1B1" w14:textId="029E83D6" w:rsidR="005C0762" w:rsidRDefault="005C0762" w:rsidP="00A12CF4">
      <w:r>
        <w:t xml:space="preserve">The </w:t>
      </w:r>
      <w:r w:rsidR="00D3299A" w:rsidRPr="00EF1C07">
        <w:t xml:space="preserve">HUL </w:t>
      </w:r>
      <w:r>
        <w:t>approach</w:t>
      </w:r>
      <w:r w:rsidR="00D3299A" w:rsidRPr="00EF1C07">
        <w:t xml:space="preserve"> recognis</w:t>
      </w:r>
      <w:r>
        <w:t>es</w:t>
      </w:r>
      <w:r w:rsidR="00D3299A" w:rsidRPr="00EF1C07">
        <w:t xml:space="preserve"> that historic urban areas are living places whose collective identity is informed by a range of tangible and intangible attributes. </w:t>
      </w:r>
      <w:r>
        <w:t xml:space="preserve"> It </w:t>
      </w:r>
      <w:r w:rsidR="00D3299A" w:rsidRPr="00EF1C07">
        <w:t xml:space="preserve">recognises and interprets urban areas as a continuum, with the present condition being the outcome of layers of </w:t>
      </w:r>
      <w:r w:rsidR="00D3299A">
        <w:t>natural (geological)</w:t>
      </w:r>
      <w:r w:rsidR="00D3299A" w:rsidRPr="00EF1C07">
        <w:t xml:space="preserve"> and human activities</w:t>
      </w:r>
      <w:r w:rsidR="00D3299A">
        <w:t xml:space="preserve"> over time</w:t>
      </w:r>
      <w:r w:rsidR="00D3299A" w:rsidRPr="00EF1C07">
        <w:t xml:space="preserve"> (</w:t>
      </w:r>
      <w:r w:rsidR="00D3299A" w:rsidRPr="00EF1C07">
        <w:fldChar w:fldCharType="begin"/>
      </w:r>
      <w:r w:rsidR="00D3299A" w:rsidRPr="00EF1C07">
        <w:instrText xml:space="preserve"> REF _Ref518908933 \h </w:instrText>
      </w:r>
      <w:r w:rsidR="00D3299A">
        <w:instrText xml:space="preserve"> \* MERGEFORMAT </w:instrText>
      </w:r>
      <w:r w:rsidR="00D3299A" w:rsidRPr="00EF1C07">
        <w:fldChar w:fldCharType="separate"/>
      </w:r>
      <w:r w:rsidR="003E105F">
        <w:t xml:space="preserve">Figure </w:t>
      </w:r>
      <w:r w:rsidR="003E105F">
        <w:rPr>
          <w:noProof/>
        </w:rPr>
        <w:t>6</w:t>
      </w:r>
      <w:r w:rsidR="00D3299A" w:rsidRPr="00EF1C07">
        <w:fldChar w:fldCharType="end"/>
      </w:r>
      <w:r w:rsidR="00D3299A" w:rsidRPr="00EF1C07">
        <w:t xml:space="preserve">).  </w:t>
      </w:r>
    </w:p>
    <w:p w14:paraId="0EAB461D" w14:textId="729FCE57" w:rsidR="005C0762" w:rsidRDefault="003C4E11" w:rsidP="005C0762">
      <w:pPr>
        <w:pStyle w:val="Figure"/>
      </w:pPr>
      <w:bookmarkStart w:id="44" w:name="_GoBack"/>
      <w:r>
        <w:rPr>
          <w:noProof/>
        </w:rPr>
        <w:lastRenderedPageBreak/>
        <w:drawing>
          <wp:anchor distT="0" distB="0" distL="114300" distR="114300" simplePos="0" relativeHeight="251667968" behindDoc="0" locked="0" layoutInCell="1" allowOverlap="1" wp14:anchorId="00A07B2F" wp14:editId="5C3843F1">
            <wp:simplePos x="0" y="0"/>
            <wp:positionH relativeFrom="column">
              <wp:posOffset>2901315</wp:posOffset>
            </wp:positionH>
            <wp:positionV relativeFrom="paragraph">
              <wp:posOffset>585470</wp:posOffset>
            </wp:positionV>
            <wp:extent cx="305696" cy="6562725"/>
            <wp:effectExtent l="0" t="0" r="0" b="0"/>
            <wp:wrapNone/>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305696" cy="6562725"/>
                    </a:xfrm>
                    <a:prstGeom prst="rect">
                      <a:avLst/>
                    </a:prstGeom>
                  </pic:spPr>
                </pic:pic>
              </a:graphicData>
            </a:graphic>
            <wp14:sizeRelH relativeFrom="page">
              <wp14:pctWidth>0</wp14:pctWidth>
            </wp14:sizeRelH>
            <wp14:sizeRelV relativeFrom="page">
              <wp14:pctHeight>0</wp14:pctHeight>
            </wp14:sizeRelV>
          </wp:anchor>
        </w:drawing>
      </w:r>
      <w:bookmarkEnd w:id="44"/>
      <w:r w:rsidR="00A87DEC">
        <w:rPr>
          <w:noProof/>
        </w:rPr>
        <mc:AlternateContent>
          <mc:Choice Requires="wps">
            <w:drawing>
              <wp:anchor distT="45720" distB="45720" distL="114300" distR="114300" simplePos="0" relativeHeight="251666944" behindDoc="0" locked="0" layoutInCell="1" allowOverlap="1" wp14:anchorId="092915E4" wp14:editId="77BBC847">
                <wp:simplePos x="0" y="0"/>
                <wp:positionH relativeFrom="margin">
                  <wp:posOffset>3143250</wp:posOffset>
                </wp:positionH>
                <wp:positionV relativeFrom="paragraph">
                  <wp:posOffset>394970</wp:posOffset>
                </wp:positionV>
                <wp:extent cx="2371725" cy="1404620"/>
                <wp:effectExtent l="0" t="0" r="9525" b="444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1404620"/>
                        </a:xfrm>
                        <a:prstGeom prst="rect">
                          <a:avLst/>
                        </a:prstGeom>
                        <a:solidFill>
                          <a:srgbClr val="FFFFFF"/>
                        </a:solidFill>
                        <a:ln w="9525">
                          <a:noFill/>
                          <a:miter lim="800000"/>
                          <a:headEnd/>
                          <a:tailEnd/>
                        </a:ln>
                      </wps:spPr>
                      <wps:txbx>
                        <w:txbxContent>
                          <w:p w14:paraId="327987EC" w14:textId="77777777" w:rsidR="00211D49" w:rsidRPr="00A87DEC" w:rsidRDefault="00211D49" w:rsidP="005B7E4D">
                            <w:pPr>
                              <w:spacing w:after="20" w:line="120" w:lineRule="atLeast"/>
                              <w:rPr>
                                <w:rFonts w:ascii="Arial" w:hAnsi="Arial" w:cs="Arial"/>
                                <w:b/>
                                <w:color w:val="E64B25"/>
                                <w:sz w:val="17"/>
                                <w:szCs w:val="17"/>
                              </w:rPr>
                            </w:pPr>
                            <w:r w:rsidRPr="00A87DEC">
                              <w:rPr>
                                <w:rFonts w:ascii="Arial" w:hAnsi="Arial" w:cs="Arial"/>
                                <w:b/>
                                <w:color w:val="E64B25"/>
                                <w:sz w:val="17"/>
                                <w:szCs w:val="17"/>
                              </w:rPr>
                              <w:t>Geology</w:t>
                            </w:r>
                          </w:p>
                          <w:p w14:paraId="7B602B1E" w14:textId="77777777" w:rsidR="00211D49" w:rsidRPr="00A87DEC" w:rsidRDefault="00211D49" w:rsidP="00243B0B">
                            <w:pPr>
                              <w:spacing w:after="0" w:line="120" w:lineRule="atLeast"/>
                              <w:rPr>
                                <w:rFonts w:ascii="Arial" w:hAnsi="Arial" w:cs="Arial"/>
                                <w:sz w:val="15"/>
                                <w:szCs w:val="15"/>
                              </w:rPr>
                            </w:pPr>
                            <w:r w:rsidRPr="00A87DEC">
                              <w:rPr>
                                <w:rFonts w:ascii="Arial" w:hAnsi="Arial" w:cs="Arial"/>
                                <w:sz w:val="15"/>
                                <w:szCs w:val="15"/>
                              </w:rPr>
                              <w:t xml:space="preserve">The rocks of the Victorian Volcanic Plain and the Central Victorian Uplands underpin Ballarat’s complex layered histories, including the epoch defining gold rush. </w:t>
                            </w:r>
                          </w:p>
                          <w:p w14:paraId="33631B8E" w14:textId="77777777" w:rsidR="00211D49" w:rsidRPr="00A87DEC" w:rsidRDefault="00211D49" w:rsidP="005B7E4D">
                            <w:pPr>
                              <w:spacing w:before="120" w:after="20" w:line="120" w:lineRule="atLeast"/>
                              <w:rPr>
                                <w:rFonts w:ascii="Arial" w:hAnsi="Arial" w:cs="Arial"/>
                                <w:b/>
                                <w:color w:val="E64B25"/>
                                <w:sz w:val="16"/>
                                <w:szCs w:val="18"/>
                              </w:rPr>
                            </w:pPr>
                            <w:r w:rsidRPr="00A87DEC">
                              <w:rPr>
                                <w:rFonts w:ascii="Arial" w:hAnsi="Arial" w:cs="Arial"/>
                                <w:b/>
                                <w:color w:val="E64B25"/>
                                <w:sz w:val="17"/>
                                <w:szCs w:val="17"/>
                              </w:rPr>
                              <w:t>Topography</w:t>
                            </w:r>
                          </w:p>
                          <w:p w14:paraId="7C24E196" w14:textId="77777777" w:rsidR="00211D49" w:rsidRPr="00A87DEC" w:rsidRDefault="00211D49" w:rsidP="005B7E4D">
                            <w:pPr>
                              <w:spacing w:after="0" w:line="120" w:lineRule="atLeast"/>
                              <w:rPr>
                                <w:rFonts w:ascii="Arial" w:hAnsi="Arial" w:cs="Arial"/>
                                <w:sz w:val="15"/>
                                <w:szCs w:val="15"/>
                              </w:rPr>
                            </w:pPr>
                            <w:r w:rsidRPr="00A87DEC">
                              <w:rPr>
                                <w:rFonts w:ascii="Arial" w:hAnsi="Arial" w:cs="Arial"/>
                                <w:sz w:val="15"/>
                                <w:szCs w:val="15"/>
                              </w:rPr>
                              <w:t>Ballarat’s contrasting landforms showcasing undulating plains, ridges, valleys and volcanic hills provides the mantle on which its rich cultural landscape has evolved.</w:t>
                            </w:r>
                          </w:p>
                          <w:p w14:paraId="2DEF30E1" w14:textId="77777777" w:rsidR="00211D49" w:rsidRPr="00A87DEC" w:rsidRDefault="00211D49" w:rsidP="005B7E4D">
                            <w:pPr>
                              <w:spacing w:before="120" w:after="20" w:line="120" w:lineRule="atLeast"/>
                              <w:rPr>
                                <w:rFonts w:ascii="Arial" w:hAnsi="Arial" w:cs="Arial"/>
                                <w:b/>
                                <w:color w:val="E64B25"/>
                                <w:sz w:val="17"/>
                                <w:szCs w:val="17"/>
                              </w:rPr>
                            </w:pPr>
                            <w:r w:rsidRPr="00A87DEC">
                              <w:rPr>
                                <w:rFonts w:ascii="Arial" w:hAnsi="Arial" w:cs="Arial"/>
                                <w:b/>
                                <w:color w:val="E64B25"/>
                                <w:sz w:val="17"/>
                                <w:szCs w:val="17"/>
                              </w:rPr>
                              <w:t>Hydrology and natural features (ecology)</w:t>
                            </w:r>
                          </w:p>
                          <w:p w14:paraId="4C32E51B" w14:textId="77777777" w:rsidR="00211D49" w:rsidRPr="00A87DEC" w:rsidRDefault="00211D49" w:rsidP="00243B0B">
                            <w:pPr>
                              <w:spacing w:after="0" w:line="120" w:lineRule="atLeast"/>
                              <w:rPr>
                                <w:rFonts w:ascii="Arial" w:hAnsi="Arial" w:cs="Arial"/>
                                <w:sz w:val="15"/>
                                <w:szCs w:val="15"/>
                              </w:rPr>
                            </w:pPr>
                            <w:r w:rsidRPr="00A87DEC">
                              <w:rPr>
                                <w:rFonts w:ascii="Arial" w:hAnsi="Arial" w:cs="Arial"/>
                                <w:sz w:val="15"/>
                                <w:szCs w:val="15"/>
                              </w:rPr>
                              <w:t xml:space="preserve">The flow of Ballarat’s creeks, the extensive lakes and water bodies, the native forest and open plains all result from the unique geology and landform that defines the municipality. </w:t>
                            </w:r>
                          </w:p>
                          <w:p w14:paraId="578C0D95" w14:textId="77777777" w:rsidR="00211D49" w:rsidRPr="00A87DEC" w:rsidRDefault="00211D49" w:rsidP="005B7E4D">
                            <w:pPr>
                              <w:spacing w:before="120" w:after="20" w:line="120" w:lineRule="atLeast"/>
                              <w:rPr>
                                <w:rFonts w:ascii="Arial" w:hAnsi="Arial" w:cs="Arial"/>
                                <w:b/>
                                <w:color w:val="E64B25"/>
                                <w:sz w:val="17"/>
                                <w:szCs w:val="17"/>
                              </w:rPr>
                            </w:pPr>
                            <w:r w:rsidRPr="00A87DEC">
                              <w:rPr>
                                <w:rFonts w:ascii="Arial" w:hAnsi="Arial" w:cs="Arial"/>
                                <w:b/>
                                <w:color w:val="E64B25"/>
                                <w:sz w:val="17"/>
                                <w:szCs w:val="17"/>
                              </w:rPr>
                              <w:t>Land use patterns &amp; spatial organisation</w:t>
                            </w:r>
                          </w:p>
                          <w:p w14:paraId="32F1DFA0" w14:textId="77777777" w:rsidR="00211D49" w:rsidRPr="00A87DEC" w:rsidRDefault="00211D49" w:rsidP="00243B0B">
                            <w:pPr>
                              <w:spacing w:after="0" w:line="120" w:lineRule="atLeast"/>
                              <w:rPr>
                                <w:rFonts w:ascii="Arial" w:hAnsi="Arial" w:cs="Arial"/>
                                <w:sz w:val="15"/>
                                <w:szCs w:val="15"/>
                              </w:rPr>
                            </w:pPr>
                            <w:r w:rsidRPr="00A87DEC">
                              <w:rPr>
                                <w:rFonts w:ascii="Arial" w:hAnsi="Arial" w:cs="Arial"/>
                                <w:sz w:val="15"/>
                                <w:szCs w:val="15"/>
                              </w:rPr>
                              <w:t xml:space="preserve">Ballarat’s landscape stands testament to its physical and historical development over time, reflected in the tracks, boundaries and settlements that make up its rich tapestry.  </w:t>
                            </w:r>
                          </w:p>
                          <w:p w14:paraId="041CD672" w14:textId="77777777" w:rsidR="00211D49" w:rsidRPr="00A87DEC" w:rsidRDefault="00211D49" w:rsidP="005B7E4D">
                            <w:pPr>
                              <w:spacing w:before="120" w:after="20" w:line="120" w:lineRule="atLeast"/>
                              <w:rPr>
                                <w:rFonts w:ascii="Arial" w:hAnsi="Arial" w:cs="Arial"/>
                                <w:b/>
                                <w:color w:val="E64B25"/>
                                <w:sz w:val="17"/>
                                <w:szCs w:val="17"/>
                              </w:rPr>
                            </w:pPr>
                            <w:r w:rsidRPr="00A87DEC">
                              <w:rPr>
                                <w:rFonts w:ascii="Arial" w:hAnsi="Arial" w:cs="Arial"/>
                                <w:b/>
                                <w:color w:val="E64B25"/>
                                <w:sz w:val="17"/>
                                <w:szCs w:val="17"/>
                              </w:rPr>
                              <w:t>Built environment</w:t>
                            </w:r>
                          </w:p>
                          <w:p w14:paraId="615B744E" w14:textId="77777777" w:rsidR="00211D49" w:rsidRPr="00A87DEC" w:rsidRDefault="00211D49" w:rsidP="00243B0B">
                            <w:pPr>
                              <w:spacing w:after="0" w:line="120" w:lineRule="atLeast"/>
                              <w:rPr>
                                <w:rFonts w:ascii="Arial" w:hAnsi="Arial" w:cs="Arial"/>
                                <w:sz w:val="15"/>
                                <w:szCs w:val="15"/>
                              </w:rPr>
                            </w:pPr>
                            <w:r w:rsidRPr="00A87DEC">
                              <w:rPr>
                                <w:rFonts w:ascii="Arial" w:hAnsi="Arial" w:cs="Arial"/>
                                <w:sz w:val="15"/>
                                <w:szCs w:val="15"/>
                              </w:rPr>
                              <w:t>The buildings, monuments and streetscapes of Ballarat, their varied form and detail, contribute greatly to the character of the city and the quality of its urban landscape.</w:t>
                            </w:r>
                          </w:p>
                          <w:p w14:paraId="0C89CA94" w14:textId="77777777" w:rsidR="00211D49" w:rsidRPr="00A87DEC" w:rsidRDefault="00211D49" w:rsidP="005B7E4D">
                            <w:pPr>
                              <w:spacing w:before="120" w:after="20" w:line="120" w:lineRule="atLeast"/>
                              <w:rPr>
                                <w:rFonts w:ascii="Arial" w:hAnsi="Arial" w:cs="Arial"/>
                                <w:b/>
                                <w:color w:val="E64B25"/>
                                <w:sz w:val="17"/>
                                <w:szCs w:val="17"/>
                              </w:rPr>
                            </w:pPr>
                            <w:r w:rsidRPr="00A87DEC">
                              <w:rPr>
                                <w:rFonts w:ascii="Arial" w:hAnsi="Arial" w:cs="Arial"/>
                                <w:b/>
                                <w:color w:val="E64B25"/>
                                <w:sz w:val="17"/>
                                <w:szCs w:val="17"/>
                              </w:rPr>
                              <w:t>Open space and gardens</w:t>
                            </w:r>
                          </w:p>
                          <w:p w14:paraId="1D2D3502" w14:textId="77777777" w:rsidR="00211D49" w:rsidRPr="00A87DEC" w:rsidRDefault="00211D49" w:rsidP="00243B0B">
                            <w:pPr>
                              <w:spacing w:after="0" w:line="120" w:lineRule="atLeast"/>
                              <w:rPr>
                                <w:rFonts w:ascii="Arial" w:hAnsi="Arial" w:cs="Arial"/>
                                <w:sz w:val="15"/>
                                <w:szCs w:val="15"/>
                              </w:rPr>
                            </w:pPr>
                            <w:r w:rsidRPr="00A87DEC">
                              <w:rPr>
                                <w:rFonts w:ascii="Arial" w:hAnsi="Arial" w:cs="Arial"/>
                                <w:sz w:val="15"/>
                                <w:szCs w:val="15"/>
                              </w:rPr>
                              <w:t>The street trees, public parks and private gardens contribute greatly to the ‘garden city’ and the network of parks and reserves promote a feeling of spaciousness and closeness to the forest and open country that is cherished by the community.</w:t>
                            </w:r>
                          </w:p>
                          <w:p w14:paraId="6A574BC4" w14:textId="77777777" w:rsidR="00211D49" w:rsidRPr="00A87DEC" w:rsidRDefault="00211D49" w:rsidP="005B7E4D">
                            <w:pPr>
                              <w:spacing w:before="120" w:after="20" w:line="120" w:lineRule="atLeast"/>
                              <w:rPr>
                                <w:rFonts w:ascii="Arial" w:hAnsi="Arial" w:cs="Arial"/>
                                <w:b/>
                                <w:color w:val="E64B25"/>
                                <w:sz w:val="17"/>
                                <w:szCs w:val="17"/>
                              </w:rPr>
                            </w:pPr>
                            <w:r w:rsidRPr="00A87DEC">
                              <w:rPr>
                                <w:rFonts w:ascii="Arial" w:hAnsi="Arial" w:cs="Arial"/>
                                <w:b/>
                                <w:color w:val="E64B25"/>
                                <w:sz w:val="17"/>
                                <w:szCs w:val="17"/>
                              </w:rPr>
                              <w:t>Infrastructure (above and below ground)</w:t>
                            </w:r>
                          </w:p>
                          <w:p w14:paraId="32028754" w14:textId="77777777" w:rsidR="00211D49" w:rsidRPr="00A87DEC" w:rsidRDefault="00211D49" w:rsidP="00243B0B">
                            <w:pPr>
                              <w:spacing w:after="0" w:line="120" w:lineRule="atLeast"/>
                              <w:rPr>
                                <w:rFonts w:ascii="Arial" w:hAnsi="Arial" w:cs="Arial"/>
                                <w:sz w:val="15"/>
                                <w:szCs w:val="15"/>
                              </w:rPr>
                            </w:pPr>
                            <w:r w:rsidRPr="00A87DEC">
                              <w:rPr>
                                <w:rFonts w:ascii="Arial" w:hAnsi="Arial" w:cs="Arial"/>
                                <w:sz w:val="15"/>
                                <w:szCs w:val="15"/>
                              </w:rPr>
                              <w:t>The road and rail connections and the many utilities and facilities provided in Ballarat all contribute to its celebrated liveability.</w:t>
                            </w:r>
                          </w:p>
                          <w:p w14:paraId="260E754A" w14:textId="77777777" w:rsidR="00211D49" w:rsidRPr="00A87DEC" w:rsidRDefault="00211D49" w:rsidP="005B7E4D">
                            <w:pPr>
                              <w:spacing w:before="120" w:after="20" w:line="120" w:lineRule="atLeast"/>
                              <w:rPr>
                                <w:rFonts w:ascii="Arial" w:hAnsi="Arial" w:cs="Arial"/>
                                <w:b/>
                                <w:color w:val="E64B25"/>
                                <w:sz w:val="17"/>
                                <w:szCs w:val="17"/>
                              </w:rPr>
                            </w:pPr>
                            <w:r w:rsidRPr="00A87DEC">
                              <w:rPr>
                                <w:rFonts w:ascii="Arial" w:hAnsi="Arial" w:cs="Arial"/>
                                <w:b/>
                                <w:color w:val="E64B25"/>
                                <w:sz w:val="17"/>
                                <w:szCs w:val="17"/>
                              </w:rPr>
                              <w:t>Perceptions and visual relationships</w:t>
                            </w:r>
                          </w:p>
                          <w:p w14:paraId="13B64E35" w14:textId="77777777" w:rsidR="00211D49" w:rsidRPr="00A87DEC" w:rsidRDefault="00211D49" w:rsidP="00243B0B">
                            <w:pPr>
                              <w:spacing w:after="0" w:line="120" w:lineRule="atLeast"/>
                              <w:rPr>
                                <w:rFonts w:ascii="Arial" w:hAnsi="Arial" w:cs="Arial"/>
                                <w:sz w:val="15"/>
                                <w:szCs w:val="15"/>
                              </w:rPr>
                            </w:pPr>
                            <w:r w:rsidRPr="00A87DEC">
                              <w:rPr>
                                <w:rFonts w:ascii="Arial" w:hAnsi="Arial" w:cs="Arial"/>
                                <w:sz w:val="14"/>
                                <w:szCs w:val="16"/>
                              </w:rPr>
                              <w:t xml:space="preserve"> </w:t>
                            </w:r>
                            <w:r w:rsidRPr="00A87DEC">
                              <w:rPr>
                                <w:rFonts w:ascii="Arial" w:hAnsi="Arial" w:cs="Arial"/>
                                <w:sz w:val="15"/>
                                <w:szCs w:val="15"/>
                              </w:rPr>
                              <w:t>The view of the city’s historic skyline inspires a sense of uniqueness, whilst expansive views over Lake Wendouree and out to Mounts Buninyong and Warrenheip and the Western Plains create a fabulous setting.</w:t>
                            </w:r>
                          </w:p>
                          <w:p w14:paraId="53E3152E" w14:textId="77777777" w:rsidR="00211D49" w:rsidRPr="00A87DEC" w:rsidRDefault="00211D49" w:rsidP="005B7E4D">
                            <w:pPr>
                              <w:spacing w:before="120" w:after="20" w:line="120" w:lineRule="atLeast"/>
                              <w:rPr>
                                <w:rFonts w:ascii="Arial" w:hAnsi="Arial" w:cs="Arial"/>
                                <w:b/>
                                <w:color w:val="E64B25"/>
                                <w:sz w:val="17"/>
                                <w:szCs w:val="17"/>
                              </w:rPr>
                            </w:pPr>
                            <w:r w:rsidRPr="00A87DEC">
                              <w:rPr>
                                <w:rFonts w:ascii="Arial" w:hAnsi="Arial" w:cs="Arial"/>
                                <w:b/>
                                <w:color w:val="E64B25"/>
                                <w:sz w:val="17"/>
                                <w:szCs w:val="17"/>
                              </w:rPr>
                              <w:t>Social and cultural practices and values</w:t>
                            </w:r>
                          </w:p>
                          <w:p w14:paraId="49B05BF4" w14:textId="77777777" w:rsidR="00211D49" w:rsidRPr="00A87DEC" w:rsidRDefault="00211D49" w:rsidP="00243B0B">
                            <w:pPr>
                              <w:spacing w:after="0" w:line="120" w:lineRule="atLeast"/>
                              <w:rPr>
                                <w:rFonts w:ascii="Arial" w:hAnsi="Arial" w:cs="Arial"/>
                                <w:sz w:val="15"/>
                                <w:szCs w:val="15"/>
                              </w:rPr>
                            </w:pPr>
                            <w:r w:rsidRPr="00A87DEC">
                              <w:rPr>
                                <w:rFonts w:ascii="Arial" w:hAnsi="Arial" w:cs="Arial"/>
                                <w:sz w:val="15"/>
                                <w:szCs w:val="15"/>
                              </w:rPr>
                              <w:t>The many cultural and sporting events, spiritual places, galleries and ovals give a richness and diversity to Ballarat’s cultural life.</w:t>
                            </w:r>
                          </w:p>
                          <w:p w14:paraId="0DC47C1B" w14:textId="77777777" w:rsidR="00211D49" w:rsidRPr="00A87DEC" w:rsidRDefault="00211D49" w:rsidP="005B7E4D">
                            <w:pPr>
                              <w:spacing w:before="120" w:after="20" w:line="120" w:lineRule="atLeast"/>
                              <w:rPr>
                                <w:rFonts w:ascii="Arial" w:hAnsi="Arial" w:cs="Arial"/>
                                <w:b/>
                                <w:color w:val="E64B25"/>
                                <w:sz w:val="17"/>
                                <w:szCs w:val="17"/>
                              </w:rPr>
                            </w:pPr>
                            <w:r w:rsidRPr="00A87DEC">
                              <w:rPr>
                                <w:rFonts w:ascii="Arial" w:hAnsi="Arial" w:cs="Arial"/>
                                <w:b/>
                                <w:color w:val="E64B25"/>
                                <w:sz w:val="17"/>
                                <w:szCs w:val="17"/>
                              </w:rPr>
                              <w:t>Economic processes</w:t>
                            </w:r>
                          </w:p>
                          <w:p w14:paraId="45D9D0D4" w14:textId="77777777" w:rsidR="00211D49" w:rsidRPr="00A87DEC" w:rsidRDefault="00211D49" w:rsidP="00243B0B">
                            <w:pPr>
                              <w:spacing w:after="0" w:line="120" w:lineRule="atLeast"/>
                              <w:rPr>
                                <w:rFonts w:ascii="Arial" w:hAnsi="Arial" w:cs="Arial"/>
                                <w:sz w:val="15"/>
                                <w:szCs w:val="15"/>
                              </w:rPr>
                            </w:pPr>
                            <w:r w:rsidRPr="00A87DEC">
                              <w:rPr>
                                <w:rFonts w:ascii="Arial" w:hAnsi="Arial" w:cs="Arial"/>
                                <w:sz w:val="15"/>
                                <w:szCs w:val="15"/>
                              </w:rPr>
                              <w:t xml:space="preserve">From the city’s prosperity brought by gold, through subsequent periods of boom and bust into today’s globalised world, economic forces have indelibly shaped Ballarat’s character. </w:t>
                            </w:r>
                          </w:p>
                          <w:p w14:paraId="502D379F" w14:textId="77777777" w:rsidR="00211D49" w:rsidRPr="00A87DEC" w:rsidRDefault="00211D49" w:rsidP="00D75463">
                            <w:pPr>
                              <w:spacing w:before="120" w:after="0" w:line="120" w:lineRule="atLeast"/>
                              <w:rPr>
                                <w:rFonts w:ascii="Arial" w:hAnsi="Arial" w:cs="Arial"/>
                                <w:b/>
                                <w:color w:val="E64B25"/>
                                <w:sz w:val="17"/>
                                <w:szCs w:val="17"/>
                              </w:rPr>
                            </w:pPr>
                            <w:r w:rsidRPr="00A87DEC">
                              <w:rPr>
                                <w:rFonts w:ascii="Arial" w:hAnsi="Arial" w:cs="Arial"/>
                                <w:b/>
                                <w:color w:val="E64B25"/>
                                <w:sz w:val="17"/>
                                <w:szCs w:val="17"/>
                              </w:rPr>
                              <w:t>Intangible dimensions of heritage,</w:t>
                            </w:r>
                          </w:p>
                          <w:p w14:paraId="71BBAA19" w14:textId="77777777" w:rsidR="00211D49" w:rsidRPr="00A87DEC" w:rsidRDefault="00211D49" w:rsidP="005B7E4D">
                            <w:pPr>
                              <w:spacing w:after="20" w:line="120" w:lineRule="atLeast"/>
                              <w:rPr>
                                <w:rFonts w:ascii="Arial" w:hAnsi="Arial" w:cs="Arial"/>
                                <w:b/>
                                <w:color w:val="E64B25"/>
                                <w:sz w:val="17"/>
                                <w:szCs w:val="17"/>
                              </w:rPr>
                            </w:pPr>
                            <w:r w:rsidRPr="00A87DEC">
                              <w:rPr>
                                <w:rFonts w:ascii="Arial" w:hAnsi="Arial" w:cs="Arial"/>
                                <w:b/>
                                <w:color w:val="E64B25"/>
                                <w:sz w:val="17"/>
                                <w:szCs w:val="17"/>
                              </w:rPr>
                              <w:t>diversity and identity</w:t>
                            </w:r>
                          </w:p>
                          <w:p w14:paraId="668E2EA7" w14:textId="47796B08" w:rsidR="00211D49" w:rsidRPr="00A87DEC" w:rsidRDefault="00211D49" w:rsidP="00243B0B">
                            <w:pPr>
                              <w:spacing w:after="0" w:line="120" w:lineRule="atLeast"/>
                              <w:rPr>
                                <w:rFonts w:ascii="Arial" w:hAnsi="Arial" w:cs="Arial"/>
                                <w:sz w:val="15"/>
                                <w:szCs w:val="15"/>
                              </w:rPr>
                            </w:pPr>
                            <w:r w:rsidRPr="00A87DEC">
                              <w:rPr>
                                <w:rFonts w:ascii="Arial" w:hAnsi="Arial" w:cs="Arial"/>
                                <w:sz w:val="15"/>
                                <w:szCs w:val="15"/>
                              </w:rPr>
                              <w:t>Ballarat’s diverse cultures give rise to many stories inspired by history and environment from Aboriginal understandings and the spirit of Eureka to the creation of its unique landscape.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92915E4" id="_x0000_t202" coordsize="21600,21600" o:spt="202" path="m,l,21600r21600,l21600,xe">
                <v:stroke joinstyle="miter"/>
                <v:path gradientshapeok="t" o:connecttype="rect"/>
              </v:shapetype>
              <v:shape id="Text Box 2" o:spid="_x0000_s1026" type="#_x0000_t202" style="position:absolute;margin-left:247.5pt;margin-top:31.1pt;width:186.75pt;height:110.6pt;z-index:2516669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" stroked="f">
                <v:textbox style="mso-fit-shape-to-text:t">
                  <w:txbxContent>
                    <w:p w14:paraId="327987EC" w14:textId="77777777" w:rsidR="00211D49" w:rsidRPr="00A87DEC" w:rsidRDefault="00211D49" w:rsidP="005B7E4D">
                      <w:pPr>
                        <w:spacing w:after="20" w:line="120" w:lineRule="atLeast"/>
                        <w:rPr>
                          <w:rFonts w:ascii="Arial" w:hAnsi="Arial" w:cs="Arial"/>
                          <w:b/>
                          <w:color w:val="E64B25"/>
                          <w:sz w:val="17"/>
                          <w:szCs w:val="17"/>
                        </w:rPr>
                      </w:pPr>
                      <w:r w:rsidRPr="00A87DEC">
                        <w:rPr>
                          <w:rFonts w:ascii="Arial" w:hAnsi="Arial" w:cs="Arial"/>
                          <w:b/>
                          <w:color w:val="E64B25"/>
                          <w:sz w:val="17"/>
                          <w:szCs w:val="17"/>
                        </w:rPr>
                        <w:t>Geology</w:t>
                      </w:r>
                    </w:p>
                    <w:p w14:paraId="7B602B1E" w14:textId="77777777" w:rsidR="00211D49" w:rsidRPr="00A87DEC" w:rsidRDefault="00211D49" w:rsidP="00243B0B">
                      <w:pPr>
                        <w:spacing w:after="0" w:line="120" w:lineRule="atLeast"/>
                        <w:rPr>
                          <w:rFonts w:ascii="Arial" w:hAnsi="Arial" w:cs="Arial"/>
                          <w:sz w:val="15"/>
                          <w:szCs w:val="15"/>
                        </w:rPr>
                      </w:pPr>
                      <w:r w:rsidRPr="00A87DEC">
                        <w:rPr>
                          <w:rFonts w:ascii="Arial" w:hAnsi="Arial" w:cs="Arial"/>
                          <w:sz w:val="15"/>
                          <w:szCs w:val="15"/>
                        </w:rPr>
                        <w:t xml:space="preserve">The rocks of the Victorian Volcanic Plain and the Central Victorian Uplands underpin Ballarat’s complex layered histories, including the epoch defining gold rush. </w:t>
                      </w:r>
                    </w:p>
                    <w:p w14:paraId="33631B8E" w14:textId="77777777" w:rsidR="00211D49" w:rsidRPr="00A87DEC" w:rsidRDefault="00211D49" w:rsidP="005B7E4D">
                      <w:pPr>
                        <w:spacing w:before="120" w:after="20" w:line="120" w:lineRule="atLeast"/>
                        <w:rPr>
                          <w:rFonts w:ascii="Arial" w:hAnsi="Arial" w:cs="Arial"/>
                          <w:b/>
                          <w:color w:val="E64B25"/>
                          <w:sz w:val="16"/>
                          <w:szCs w:val="18"/>
                        </w:rPr>
                      </w:pPr>
                      <w:r w:rsidRPr="00A87DEC">
                        <w:rPr>
                          <w:rFonts w:ascii="Arial" w:hAnsi="Arial" w:cs="Arial"/>
                          <w:b/>
                          <w:color w:val="E64B25"/>
                          <w:sz w:val="17"/>
                          <w:szCs w:val="17"/>
                        </w:rPr>
                        <w:t>Topography</w:t>
                      </w:r>
                    </w:p>
                    <w:p w14:paraId="7C24E196" w14:textId="77777777" w:rsidR="00211D49" w:rsidRPr="00A87DEC" w:rsidRDefault="00211D49" w:rsidP="005B7E4D">
                      <w:pPr>
                        <w:spacing w:after="0" w:line="120" w:lineRule="atLeast"/>
                        <w:rPr>
                          <w:rFonts w:ascii="Arial" w:hAnsi="Arial" w:cs="Arial"/>
                          <w:sz w:val="15"/>
                          <w:szCs w:val="15"/>
                        </w:rPr>
                      </w:pPr>
                      <w:r w:rsidRPr="00A87DEC">
                        <w:rPr>
                          <w:rFonts w:ascii="Arial" w:hAnsi="Arial" w:cs="Arial"/>
                          <w:sz w:val="15"/>
                          <w:szCs w:val="15"/>
                        </w:rPr>
                        <w:t>Ballarat’s contrasting landforms showcasing undulating plains, ridges, valleys and volcanic hills provides the mantle on which its rich cultural landscape has evolved.</w:t>
                      </w:r>
                    </w:p>
                    <w:p w14:paraId="2DEF30E1" w14:textId="77777777" w:rsidR="00211D49" w:rsidRPr="00A87DEC" w:rsidRDefault="00211D49" w:rsidP="005B7E4D">
                      <w:pPr>
                        <w:spacing w:before="120" w:after="20" w:line="120" w:lineRule="atLeast"/>
                        <w:rPr>
                          <w:rFonts w:ascii="Arial" w:hAnsi="Arial" w:cs="Arial"/>
                          <w:b/>
                          <w:color w:val="E64B25"/>
                          <w:sz w:val="17"/>
                          <w:szCs w:val="17"/>
                        </w:rPr>
                      </w:pPr>
                      <w:r w:rsidRPr="00A87DEC">
                        <w:rPr>
                          <w:rFonts w:ascii="Arial" w:hAnsi="Arial" w:cs="Arial"/>
                          <w:b/>
                          <w:color w:val="E64B25"/>
                          <w:sz w:val="17"/>
                          <w:szCs w:val="17"/>
                        </w:rPr>
                        <w:t>Hydrology and natural features (ecology)</w:t>
                      </w:r>
                    </w:p>
                    <w:p w14:paraId="4C32E51B" w14:textId="77777777" w:rsidR="00211D49" w:rsidRPr="00A87DEC" w:rsidRDefault="00211D49" w:rsidP="00243B0B">
                      <w:pPr>
                        <w:spacing w:after="0" w:line="120" w:lineRule="atLeast"/>
                        <w:rPr>
                          <w:rFonts w:ascii="Arial" w:hAnsi="Arial" w:cs="Arial"/>
                          <w:sz w:val="15"/>
                          <w:szCs w:val="15"/>
                        </w:rPr>
                      </w:pPr>
                      <w:r w:rsidRPr="00A87DEC">
                        <w:rPr>
                          <w:rFonts w:ascii="Arial" w:hAnsi="Arial" w:cs="Arial"/>
                          <w:sz w:val="15"/>
                          <w:szCs w:val="15"/>
                        </w:rPr>
                        <w:t xml:space="preserve">The flow of Ballarat’s creeks, the extensive lakes and water bodies, the native forest and open plains all result from the unique geology and landform that defines the municipality. </w:t>
                      </w:r>
                    </w:p>
                    <w:p w14:paraId="578C0D95" w14:textId="77777777" w:rsidR="00211D49" w:rsidRPr="00A87DEC" w:rsidRDefault="00211D49" w:rsidP="005B7E4D">
                      <w:pPr>
                        <w:spacing w:before="120" w:after="20" w:line="120" w:lineRule="atLeast"/>
                        <w:rPr>
                          <w:rFonts w:ascii="Arial" w:hAnsi="Arial" w:cs="Arial"/>
                          <w:b/>
                          <w:color w:val="E64B25"/>
                          <w:sz w:val="17"/>
                          <w:szCs w:val="17"/>
                        </w:rPr>
                      </w:pPr>
                      <w:r w:rsidRPr="00A87DEC">
                        <w:rPr>
                          <w:rFonts w:ascii="Arial" w:hAnsi="Arial" w:cs="Arial"/>
                          <w:b/>
                          <w:color w:val="E64B25"/>
                          <w:sz w:val="17"/>
                          <w:szCs w:val="17"/>
                        </w:rPr>
                        <w:t>Land use patterns &amp; spatial organisation</w:t>
                      </w:r>
                    </w:p>
                    <w:p w14:paraId="32F1DFA0" w14:textId="77777777" w:rsidR="00211D49" w:rsidRPr="00A87DEC" w:rsidRDefault="00211D49" w:rsidP="00243B0B">
                      <w:pPr>
                        <w:spacing w:after="0" w:line="120" w:lineRule="atLeast"/>
                        <w:rPr>
                          <w:rFonts w:ascii="Arial" w:hAnsi="Arial" w:cs="Arial"/>
                          <w:sz w:val="15"/>
                          <w:szCs w:val="15"/>
                        </w:rPr>
                      </w:pPr>
                      <w:r w:rsidRPr="00A87DEC">
                        <w:rPr>
                          <w:rFonts w:ascii="Arial" w:hAnsi="Arial" w:cs="Arial"/>
                          <w:sz w:val="15"/>
                          <w:szCs w:val="15"/>
                        </w:rPr>
                        <w:t xml:space="preserve">Ballarat’s landscape stands testament to its physical and historical development over time, reflected in the tracks, boundaries and settlements that make up its rich tapestry.  </w:t>
                      </w:r>
                    </w:p>
                    <w:p w14:paraId="041CD672" w14:textId="77777777" w:rsidR="00211D49" w:rsidRPr="00A87DEC" w:rsidRDefault="00211D49" w:rsidP="005B7E4D">
                      <w:pPr>
                        <w:spacing w:before="120" w:after="20" w:line="120" w:lineRule="atLeast"/>
                        <w:rPr>
                          <w:rFonts w:ascii="Arial" w:hAnsi="Arial" w:cs="Arial"/>
                          <w:b/>
                          <w:color w:val="E64B25"/>
                          <w:sz w:val="17"/>
                          <w:szCs w:val="17"/>
                        </w:rPr>
                      </w:pPr>
                      <w:r w:rsidRPr="00A87DEC">
                        <w:rPr>
                          <w:rFonts w:ascii="Arial" w:hAnsi="Arial" w:cs="Arial"/>
                          <w:b/>
                          <w:color w:val="E64B25"/>
                          <w:sz w:val="17"/>
                          <w:szCs w:val="17"/>
                        </w:rPr>
                        <w:t>Built environment</w:t>
                      </w:r>
                    </w:p>
                    <w:p w14:paraId="615B744E" w14:textId="77777777" w:rsidR="00211D49" w:rsidRPr="00A87DEC" w:rsidRDefault="00211D49" w:rsidP="00243B0B">
                      <w:pPr>
                        <w:spacing w:after="0" w:line="120" w:lineRule="atLeast"/>
                        <w:rPr>
                          <w:rFonts w:ascii="Arial" w:hAnsi="Arial" w:cs="Arial"/>
                          <w:sz w:val="15"/>
                          <w:szCs w:val="15"/>
                        </w:rPr>
                      </w:pPr>
                      <w:r w:rsidRPr="00A87DEC">
                        <w:rPr>
                          <w:rFonts w:ascii="Arial" w:hAnsi="Arial" w:cs="Arial"/>
                          <w:sz w:val="15"/>
                          <w:szCs w:val="15"/>
                        </w:rPr>
                        <w:t>The buildings, monuments and streetscapes of Ballarat, their varied form and detail, contribute greatly to the character of the city and the quality of its urban landscape.</w:t>
                      </w:r>
                    </w:p>
                    <w:p w14:paraId="0C89CA94" w14:textId="77777777" w:rsidR="00211D49" w:rsidRPr="00A87DEC" w:rsidRDefault="00211D49" w:rsidP="005B7E4D">
                      <w:pPr>
                        <w:spacing w:before="120" w:after="20" w:line="120" w:lineRule="atLeast"/>
                        <w:rPr>
                          <w:rFonts w:ascii="Arial" w:hAnsi="Arial" w:cs="Arial"/>
                          <w:b/>
                          <w:color w:val="E64B25"/>
                          <w:sz w:val="17"/>
                          <w:szCs w:val="17"/>
                        </w:rPr>
                      </w:pPr>
                      <w:r w:rsidRPr="00A87DEC">
                        <w:rPr>
                          <w:rFonts w:ascii="Arial" w:hAnsi="Arial" w:cs="Arial"/>
                          <w:b/>
                          <w:color w:val="E64B25"/>
                          <w:sz w:val="17"/>
                          <w:szCs w:val="17"/>
                        </w:rPr>
                        <w:t>Open space and gardens</w:t>
                      </w:r>
                    </w:p>
                    <w:p w14:paraId="1D2D3502" w14:textId="77777777" w:rsidR="00211D49" w:rsidRPr="00A87DEC" w:rsidRDefault="00211D49" w:rsidP="00243B0B">
                      <w:pPr>
                        <w:spacing w:after="0" w:line="120" w:lineRule="atLeast"/>
                        <w:rPr>
                          <w:rFonts w:ascii="Arial" w:hAnsi="Arial" w:cs="Arial"/>
                          <w:sz w:val="15"/>
                          <w:szCs w:val="15"/>
                        </w:rPr>
                      </w:pPr>
                      <w:r w:rsidRPr="00A87DEC">
                        <w:rPr>
                          <w:rFonts w:ascii="Arial" w:hAnsi="Arial" w:cs="Arial"/>
                          <w:sz w:val="15"/>
                          <w:szCs w:val="15"/>
                        </w:rPr>
                        <w:t>The street trees, public parks and private gardens contribute greatly to the ‘garden city’ and the network of parks and reserves promote a feeling of spaciousness and closeness to the forest and open country that is cherished by the community.</w:t>
                      </w:r>
                    </w:p>
                    <w:p w14:paraId="6A574BC4" w14:textId="77777777" w:rsidR="00211D49" w:rsidRPr="00A87DEC" w:rsidRDefault="00211D49" w:rsidP="005B7E4D">
                      <w:pPr>
                        <w:spacing w:before="120" w:after="20" w:line="120" w:lineRule="atLeast"/>
                        <w:rPr>
                          <w:rFonts w:ascii="Arial" w:hAnsi="Arial" w:cs="Arial"/>
                          <w:b/>
                          <w:color w:val="E64B25"/>
                          <w:sz w:val="17"/>
                          <w:szCs w:val="17"/>
                        </w:rPr>
                      </w:pPr>
                      <w:r w:rsidRPr="00A87DEC">
                        <w:rPr>
                          <w:rFonts w:ascii="Arial" w:hAnsi="Arial" w:cs="Arial"/>
                          <w:b/>
                          <w:color w:val="E64B25"/>
                          <w:sz w:val="17"/>
                          <w:szCs w:val="17"/>
                        </w:rPr>
                        <w:t>Infrastructure (above and below ground)</w:t>
                      </w:r>
                    </w:p>
                    <w:p w14:paraId="32028754" w14:textId="77777777" w:rsidR="00211D49" w:rsidRPr="00A87DEC" w:rsidRDefault="00211D49" w:rsidP="00243B0B">
                      <w:pPr>
                        <w:spacing w:after="0" w:line="120" w:lineRule="atLeast"/>
                        <w:rPr>
                          <w:rFonts w:ascii="Arial" w:hAnsi="Arial" w:cs="Arial"/>
                          <w:sz w:val="15"/>
                          <w:szCs w:val="15"/>
                        </w:rPr>
                      </w:pPr>
                      <w:r w:rsidRPr="00A87DEC">
                        <w:rPr>
                          <w:rFonts w:ascii="Arial" w:hAnsi="Arial" w:cs="Arial"/>
                          <w:sz w:val="15"/>
                          <w:szCs w:val="15"/>
                        </w:rPr>
                        <w:t>The road and rail connections and the many utilities and facilities provided in Ballarat all contribute to its celebrated liveability.</w:t>
                      </w:r>
                    </w:p>
                    <w:p w14:paraId="260E754A" w14:textId="77777777" w:rsidR="00211D49" w:rsidRPr="00A87DEC" w:rsidRDefault="00211D49" w:rsidP="005B7E4D">
                      <w:pPr>
                        <w:spacing w:before="120" w:after="20" w:line="120" w:lineRule="atLeast"/>
                        <w:rPr>
                          <w:rFonts w:ascii="Arial" w:hAnsi="Arial" w:cs="Arial"/>
                          <w:b/>
                          <w:color w:val="E64B25"/>
                          <w:sz w:val="17"/>
                          <w:szCs w:val="17"/>
                        </w:rPr>
                      </w:pPr>
                      <w:r w:rsidRPr="00A87DEC">
                        <w:rPr>
                          <w:rFonts w:ascii="Arial" w:hAnsi="Arial" w:cs="Arial"/>
                          <w:b/>
                          <w:color w:val="E64B25"/>
                          <w:sz w:val="17"/>
                          <w:szCs w:val="17"/>
                        </w:rPr>
                        <w:t>Perceptions and visual relationships</w:t>
                      </w:r>
                    </w:p>
                    <w:p w14:paraId="13B64E35" w14:textId="77777777" w:rsidR="00211D49" w:rsidRPr="00A87DEC" w:rsidRDefault="00211D49" w:rsidP="00243B0B">
                      <w:pPr>
                        <w:spacing w:after="0" w:line="120" w:lineRule="atLeast"/>
                        <w:rPr>
                          <w:rFonts w:ascii="Arial" w:hAnsi="Arial" w:cs="Arial"/>
                          <w:sz w:val="15"/>
                          <w:szCs w:val="15"/>
                        </w:rPr>
                      </w:pPr>
                      <w:r w:rsidRPr="00A87DEC">
                        <w:rPr>
                          <w:rFonts w:ascii="Arial" w:hAnsi="Arial" w:cs="Arial"/>
                          <w:sz w:val="14"/>
                          <w:szCs w:val="16"/>
                        </w:rPr>
                        <w:t xml:space="preserve"> </w:t>
                      </w:r>
                      <w:r w:rsidRPr="00A87DEC">
                        <w:rPr>
                          <w:rFonts w:ascii="Arial" w:hAnsi="Arial" w:cs="Arial"/>
                          <w:sz w:val="15"/>
                          <w:szCs w:val="15"/>
                        </w:rPr>
                        <w:t>The view of the city’s historic skyline inspires a sense of uniqueness, whilst expansive views over Lake Wendouree and out to Mounts Buninyong and Warrenheip and the Western Plains create a fabulous setting.</w:t>
                      </w:r>
                    </w:p>
                    <w:p w14:paraId="53E3152E" w14:textId="77777777" w:rsidR="00211D49" w:rsidRPr="00A87DEC" w:rsidRDefault="00211D49" w:rsidP="005B7E4D">
                      <w:pPr>
                        <w:spacing w:before="120" w:after="20" w:line="120" w:lineRule="atLeast"/>
                        <w:rPr>
                          <w:rFonts w:ascii="Arial" w:hAnsi="Arial" w:cs="Arial"/>
                          <w:b/>
                          <w:color w:val="E64B25"/>
                          <w:sz w:val="17"/>
                          <w:szCs w:val="17"/>
                        </w:rPr>
                      </w:pPr>
                      <w:r w:rsidRPr="00A87DEC">
                        <w:rPr>
                          <w:rFonts w:ascii="Arial" w:hAnsi="Arial" w:cs="Arial"/>
                          <w:b/>
                          <w:color w:val="E64B25"/>
                          <w:sz w:val="17"/>
                          <w:szCs w:val="17"/>
                        </w:rPr>
                        <w:t>Social and cultural practices and values</w:t>
                      </w:r>
                    </w:p>
                    <w:p w14:paraId="49B05BF4" w14:textId="77777777" w:rsidR="00211D49" w:rsidRPr="00A87DEC" w:rsidRDefault="00211D49" w:rsidP="00243B0B">
                      <w:pPr>
                        <w:spacing w:after="0" w:line="120" w:lineRule="atLeast"/>
                        <w:rPr>
                          <w:rFonts w:ascii="Arial" w:hAnsi="Arial" w:cs="Arial"/>
                          <w:sz w:val="15"/>
                          <w:szCs w:val="15"/>
                        </w:rPr>
                      </w:pPr>
                      <w:r w:rsidRPr="00A87DEC">
                        <w:rPr>
                          <w:rFonts w:ascii="Arial" w:hAnsi="Arial" w:cs="Arial"/>
                          <w:sz w:val="15"/>
                          <w:szCs w:val="15"/>
                        </w:rPr>
                        <w:t>The many cultural and sporting events, spiritual places, galleries and ovals give a richness and diversity to Ballarat’s cultural life.</w:t>
                      </w:r>
                    </w:p>
                    <w:p w14:paraId="0DC47C1B" w14:textId="77777777" w:rsidR="00211D49" w:rsidRPr="00A87DEC" w:rsidRDefault="00211D49" w:rsidP="005B7E4D">
                      <w:pPr>
                        <w:spacing w:before="120" w:after="20" w:line="120" w:lineRule="atLeast"/>
                        <w:rPr>
                          <w:rFonts w:ascii="Arial" w:hAnsi="Arial" w:cs="Arial"/>
                          <w:b/>
                          <w:color w:val="E64B25"/>
                          <w:sz w:val="17"/>
                          <w:szCs w:val="17"/>
                        </w:rPr>
                      </w:pPr>
                      <w:r w:rsidRPr="00A87DEC">
                        <w:rPr>
                          <w:rFonts w:ascii="Arial" w:hAnsi="Arial" w:cs="Arial"/>
                          <w:b/>
                          <w:color w:val="E64B25"/>
                          <w:sz w:val="17"/>
                          <w:szCs w:val="17"/>
                        </w:rPr>
                        <w:t>Economic processes</w:t>
                      </w:r>
                    </w:p>
                    <w:p w14:paraId="45D9D0D4" w14:textId="77777777" w:rsidR="00211D49" w:rsidRPr="00A87DEC" w:rsidRDefault="00211D49" w:rsidP="00243B0B">
                      <w:pPr>
                        <w:spacing w:after="0" w:line="120" w:lineRule="atLeast"/>
                        <w:rPr>
                          <w:rFonts w:ascii="Arial" w:hAnsi="Arial" w:cs="Arial"/>
                          <w:sz w:val="15"/>
                          <w:szCs w:val="15"/>
                        </w:rPr>
                      </w:pPr>
                      <w:r w:rsidRPr="00A87DEC">
                        <w:rPr>
                          <w:rFonts w:ascii="Arial" w:hAnsi="Arial" w:cs="Arial"/>
                          <w:sz w:val="15"/>
                          <w:szCs w:val="15"/>
                        </w:rPr>
                        <w:t xml:space="preserve">From the city’s prosperity brought by gold, through subsequent periods of boom and bust into today’s globalised world, economic forces have indelibly shaped Ballarat’s character. </w:t>
                      </w:r>
                    </w:p>
                    <w:p w14:paraId="502D379F" w14:textId="77777777" w:rsidR="00211D49" w:rsidRPr="00A87DEC" w:rsidRDefault="00211D49" w:rsidP="00D75463">
                      <w:pPr>
                        <w:spacing w:before="120" w:after="0" w:line="120" w:lineRule="atLeast"/>
                        <w:rPr>
                          <w:rFonts w:ascii="Arial" w:hAnsi="Arial" w:cs="Arial"/>
                          <w:b/>
                          <w:color w:val="E64B25"/>
                          <w:sz w:val="17"/>
                          <w:szCs w:val="17"/>
                        </w:rPr>
                      </w:pPr>
                      <w:r w:rsidRPr="00A87DEC">
                        <w:rPr>
                          <w:rFonts w:ascii="Arial" w:hAnsi="Arial" w:cs="Arial"/>
                          <w:b/>
                          <w:color w:val="E64B25"/>
                          <w:sz w:val="17"/>
                          <w:szCs w:val="17"/>
                        </w:rPr>
                        <w:t>Intangible dimensions of heritage,</w:t>
                      </w:r>
                    </w:p>
                    <w:p w14:paraId="71BBAA19" w14:textId="77777777" w:rsidR="00211D49" w:rsidRPr="00A87DEC" w:rsidRDefault="00211D49" w:rsidP="005B7E4D">
                      <w:pPr>
                        <w:spacing w:after="20" w:line="120" w:lineRule="atLeast"/>
                        <w:rPr>
                          <w:rFonts w:ascii="Arial" w:hAnsi="Arial" w:cs="Arial"/>
                          <w:b/>
                          <w:color w:val="E64B25"/>
                          <w:sz w:val="17"/>
                          <w:szCs w:val="17"/>
                        </w:rPr>
                      </w:pPr>
                      <w:r w:rsidRPr="00A87DEC">
                        <w:rPr>
                          <w:rFonts w:ascii="Arial" w:hAnsi="Arial" w:cs="Arial"/>
                          <w:b/>
                          <w:color w:val="E64B25"/>
                          <w:sz w:val="17"/>
                          <w:szCs w:val="17"/>
                        </w:rPr>
                        <w:t>diversity and identity</w:t>
                      </w:r>
                    </w:p>
                    <w:p w14:paraId="668E2EA7" w14:textId="47796B08" w:rsidR="00211D49" w:rsidRPr="00A87DEC" w:rsidRDefault="00211D49" w:rsidP="00243B0B">
                      <w:pPr>
                        <w:spacing w:after="0" w:line="120" w:lineRule="atLeast"/>
                        <w:rPr>
                          <w:rFonts w:ascii="Arial" w:hAnsi="Arial" w:cs="Arial"/>
                          <w:sz w:val="15"/>
                          <w:szCs w:val="15"/>
                        </w:rPr>
                      </w:pPr>
                      <w:r w:rsidRPr="00A87DEC">
                        <w:rPr>
                          <w:rFonts w:ascii="Arial" w:hAnsi="Arial" w:cs="Arial"/>
                          <w:sz w:val="15"/>
                          <w:szCs w:val="15"/>
                        </w:rPr>
                        <w:t>Ballarat’s diverse cultures give rise to many stories inspired by history and environment from Aboriginal understandings and the spirit of Eureka to the creation of its unique landscape.</w:t>
                      </w:r>
                    </w:p>
                  </w:txbxContent>
                </v:textbox>
                <w10:wrap type="square" anchorx="margin"/>
              </v:shape>
            </w:pict>
          </mc:Fallback>
        </mc:AlternateContent>
      </w:r>
      <w:r w:rsidR="005C0762">
        <w:rPr>
          <w:noProof/>
          <w:lang w:eastAsia="en-AU"/>
        </w:rPr>
        <w:drawing>
          <wp:inline distT="0" distB="0" distL="0" distR="0" wp14:anchorId="5A2B9F65" wp14:editId="76B0F282">
            <wp:extent cx="2929243" cy="8029575"/>
            <wp:effectExtent l="0" t="0" r="5080" b="0"/>
            <wp:docPr id="8" name="Picture 8" descr="Geology&#10;The rocks of the Victorian Volcanic Plain and the Central Victorian Uplands underpin Ballarat’s complex layered histories, including the epoch defining gold rush. &#10;Topography&#10;Ballarat’s contrasting landforms showcasing undulating plains, ridges, valleys and volcanic hills provides the mantle on which its rich cultural landscape has evolved.&#10;Hydrology and natural features (ecology)&#10;The flow of Ballarat’s creeks, the extensive lakes and water bodies, the native forest and open plains all result from the unique geology and landform that defines the municipality. &#10;Land use patterns &amp; spatial organisation&#10;Ballarat’s landscape stands testament to its physical and historical development over time, reflected in the tracks, boundaries and settlements that make up its rich tapestry.  &#10;Built environment&#10;The buildings, monuments and streetscapes of Ballarat, their varied form and detail, contribute greatly to the character of the city and the quality of its urban landscape.&#10;Open space and gardens&#10;The street trees, public parks and private gardens contribute greatly to the ‘garden city’ and the network of parks and reserves promote a feeling of spaciousness and closeness to the forest and open country that is cherished by the community.&#10;Infrastructure (above and below ground)&#10;The road and rail connections and the many utilities and facilities provided in Ballarat all contribute to its celebrated liveability.&#10;Perceptions and visual relationships&#10; The view of the city’s historic skyline inspires a sense of uniqueness, whilst expansive views over Lake Wendouree and out to Mounts Buninyong and Warrenheip and the Western Plains create a fabulous setting.&#10;Social and cultural practices and values&#10;The many cultural and sporting events, spiritual places, galleries and ovals give a richness and diversity to Ballarat’s cultural life.&#10;Economic processes&#10;From the city’s prosperity brought by gold, through subsequent periods of boom and bust into today’s globalised world, economic forces have indelibly shaped Ballarat’s character. &#10;Intangible dimensions of heritage,&#10;diversity and identity&#10;Ballarat’s diverse cultures give rise to many stories inspired by history and environment from Aboriginal understandings and the spirit of Eureka to the creation of its unique landscap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4524" t="7839" r="48812" b="10953"/>
                    <a:stretch/>
                  </pic:blipFill>
                  <pic:spPr bwMode="auto">
                    <a:xfrm>
                      <a:off x="0" y="0"/>
                      <a:ext cx="2934367" cy="8043621"/>
                    </a:xfrm>
                    <a:prstGeom prst="rect">
                      <a:avLst/>
                    </a:prstGeom>
                    <a:ln>
                      <a:noFill/>
                    </a:ln>
                    <a:extLst>
                      <a:ext uri="{53640926-AAD7-44D8-BBD7-CCE9431645EC}">
                        <a14:shadowObscured xmlns:a14="http://schemas.microsoft.com/office/drawing/2010/main"/>
                      </a:ext>
                    </a:extLst>
                  </pic:spPr>
                </pic:pic>
              </a:graphicData>
            </a:graphic>
          </wp:inline>
        </w:drawing>
      </w:r>
    </w:p>
    <w:p w14:paraId="1EEDEA35" w14:textId="77777777" w:rsidR="00A87DEC" w:rsidRDefault="00A87DEC" w:rsidP="005C0762">
      <w:pPr>
        <w:pStyle w:val="Caption"/>
      </w:pPr>
      <w:bookmarkStart w:id="45" w:name="_Ref518908933"/>
    </w:p>
    <w:p w14:paraId="5BAD6E3F" w14:textId="6417829B" w:rsidR="005C0762" w:rsidRDefault="005C0762" w:rsidP="00A87DEC">
      <w:pPr>
        <w:pStyle w:val="Caption"/>
        <w:ind w:left="0" w:firstLine="0"/>
      </w:pPr>
      <w:r>
        <w:t xml:space="preserve">Figure </w:t>
      </w:r>
      <w:r>
        <w:rPr>
          <w:noProof/>
        </w:rPr>
        <w:fldChar w:fldCharType="begin"/>
      </w:r>
      <w:r>
        <w:rPr>
          <w:noProof/>
        </w:rPr>
        <w:instrText xml:space="preserve"> SEQ Figure \* ARABIC </w:instrText>
      </w:r>
      <w:r>
        <w:rPr>
          <w:noProof/>
        </w:rPr>
        <w:fldChar w:fldCharType="separate"/>
      </w:r>
      <w:r w:rsidR="003E105F">
        <w:rPr>
          <w:noProof/>
        </w:rPr>
        <w:t>6</w:t>
      </w:r>
      <w:r>
        <w:rPr>
          <w:noProof/>
        </w:rPr>
        <w:fldChar w:fldCharType="end"/>
      </w:r>
      <w:bookmarkEnd w:id="45"/>
      <w:r>
        <w:tab/>
        <w:t>Ballarat: the urban fabric as it exists is the product of multiple layers of influence</w:t>
      </w:r>
    </w:p>
    <w:p w14:paraId="276B4B11" w14:textId="77777777" w:rsidR="005C0762" w:rsidRDefault="005C0762" w:rsidP="005C0762">
      <w:pPr>
        <w:pStyle w:val="Figuresource"/>
      </w:pPr>
      <w:r>
        <w:t xml:space="preserve">Source: City of Ballarat, </w:t>
      </w:r>
      <w:r w:rsidRPr="00E31AD9">
        <w:rPr>
          <w:i/>
        </w:rPr>
        <w:t>Our People, Culture &amp; Place, A Plan to Sustain Ballarat’s Heritage 2017-2030</w:t>
      </w:r>
      <w:r>
        <w:t>, p. 11</w:t>
      </w:r>
    </w:p>
    <w:p w14:paraId="4C4836AE" w14:textId="0C8246EF" w:rsidR="00D3299A" w:rsidRDefault="005C0762" w:rsidP="00A12CF4">
      <w:r>
        <w:lastRenderedPageBreak/>
        <w:t xml:space="preserve">HUL also </w:t>
      </w:r>
      <w:r w:rsidR="00D3299A">
        <w:t xml:space="preserve">sees significance as fluid, contested and dynamic and provides for revisions to Statements of Significance through public engagement.  </w:t>
      </w:r>
      <w:r>
        <w:t>C</w:t>
      </w:r>
      <w:r w:rsidR="00D3299A">
        <w:t>ommunity</w:t>
      </w:r>
      <w:r>
        <w:t>-</w:t>
      </w:r>
      <w:r w:rsidR="00D3299A">
        <w:t>centred, interdisciplinary and locally</w:t>
      </w:r>
      <w:r>
        <w:t>-</w:t>
      </w:r>
      <w:r w:rsidR="00D3299A">
        <w:t>focused methods of engagement and management</w:t>
      </w:r>
      <w:r>
        <w:t xml:space="preserve"> are applied,</w:t>
      </w:r>
      <w:r w:rsidR="00D3299A">
        <w:t xml:space="preserve"> </w:t>
      </w:r>
      <w:r>
        <w:t xml:space="preserve">a </w:t>
      </w:r>
      <w:r w:rsidR="00D3299A">
        <w:t xml:space="preserve">contrast with expert-led </w:t>
      </w:r>
      <w:r>
        <w:t xml:space="preserve">models </w:t>
      </w:r>
      <w:r w:rsidR="00D3299A">
        <w:t>of heritage practice.  The HUL approach also moves beyond physical observations and documentary research to engage people through visual and spatial methods such as cultural mapping and digital tools.</w:t>
      </w:r>
    </w:p>
    <w:p w14:paraId="11A22D21" w14:textId="5C752BEC" w:rsidR="00C62AF0" w:rsidRPr="00C62AF0" w:rsidRDefault="002862AB" w:rsidP="00C62AF0">
      <w:r>
        <w:t xml:space="preserve">In 2013, the City of </w:t>
      </w:r>
      <w:r w:rsidR="00A12CF4">
        <w:t>Ballarat</w:t>
      </w:r>
      <w:r w:rsidR="005C0762">
        <w:t xml:space="preserve">, Victoria </w:t>
      </w:r>
      <w:r>
        <w:t xml:space="preserve">became the first local authority to sign up to the </w:t>
      </w:r>
      <w:hyperlink r:id="rId24" w:history="1">
        <w:r w:rsidRPr="00EF1C07">
          <w:t>World Heritage Institute of Training and Research for the Asia and the Pacific Region</w:t>
        </w:r>
      </w:hyperlink>
      <w:r w:rsidRPr="00EF1C07">
        <w:t xml:space="preserve"> (WHITRAP) pilot program to implement UNESCO’s HUL approach.  </w:t>
      </w:r>
      <w:r w:rsidR="005C0762">
        <w:t>Over the past five years t</w:t>
      </w:r>
      <w:r w:rsidRPr="00EF1C07">
        <w:t>he model has bee</w:t>
      </w:r>
      <w:r w:rsidR="00773A66">
        <w:t>n applied at a municipal scale.  Early initiatives included running engaging and accessible projects in an attempt to break down perceptions of heritage as an exclusive and</w:t>
      </w:r>
      <w:r w:rsidR="00486DC0">
        <w:t xml:space="preserve"> highly specialised endeavour – examples included </w:t>
      </w:r>
      <w:r w:rsidR="00773A66">
        <w:t xml:space="preserve">a public event to extract an historic time capsule and heritage weekends </w:t>
      </w:r>
      <w:r w:rsidR="00486DC0">
        <w:t>then turned</w:t>
      </w:r>
      <w:r w:rsidR="00C62AF0">
        <w:t xml:space="preserve"> to the implementation of HUL’s ‘Six Critical Steps’: </w:t>
      </w:r>
    </w:p>
    <w:p w14:paraId="2612D32F" w14:textId="77777777" w:rsidR="0004154E" w:rsidRPr="00C62AF0" w:rsidRDefault="0004154E" w:rsidP="00C62AF0">
      <w:pPr>
        <w:pStyle w:val="Quotation"/>
      </w:pPr>
      <w:r w:rsidRPr="00C62AF0">
        <w:t xml:space="preserve">1. To undertake comprehensive surveys and mapping of the city’s natural, cultural and human resources; </w:t>
      </w:r>
    </w:p>
    <w:p w14:paraId="3B3C79C8" w14:textId="77777777" w:rsidR="0004154E" w:rsidRPr="00C62AF0" w:rsidRDefault="0004154E" w:rsidP="00C62AF0">
      <w:pPr>
        <w:pStyle w:val="Quotation"/>
      </w:pPr>
      <w:r w:rsidRPr="00C62AF0">
        <w:t xml:space="preserve">2. To reach consensus using participatory planning and stakeholder consultations on what values to protect for transmission to future generations and to determine the attributes that carry these values; </w:t>
      </w:r>
    </w:p>
    <w:p w14:paraId="1A18C0FB" w14:textId="77777777" w:rsidR="0004154E" w:rsidRPr="00C62AF0" w:rsidRDefault="0004154E" w:rsidP="00C62AF0">
      <w:pPr>
        <w:pStyle w:val="Quotation"/>
      </w:pPr>
      <w:r w:rsidRPr="00C62AF0">
        <w:t xml:space="preserve">3. To assess vulnerability of these attributes to socio-economic stresses and impacts of climate change; </w:t>
      </w:r>
    </w:p>
    <w:p w14:paraId="42B0100F" w14:textId="77777777" w:rsidR="0004154E" w:rsidRPr="00C62AF0" w:rsidRDefault="0004154E" w:rsidP="00C62AF0">
      <w:pPr>
        <w:pStyle w:val="Quotation"/>
      </w:pPr>
      <w:r w:rsidRPr="00C62AF0">
        <w:t xml:space="preserve">4. To integrate urban heritage values and their vulnerability status into a wider framework of city development, which shall provide indications of areas of heritage sensitivity that require careful attention to planning, design and implementation of development projects; </w:t>
      </w:r>
    </w:p>
    <w:p w14:paraId="7764F619" w14:textId="77777777" w:rsidR="0004154E" w:rsidRPr="00C62AF0" w:rsidRDefault="0004154E" w:rsidP="00C62AF0">
      <w:pPr>
        <w:pStyle w:val="Quotation"/>
      </w:pPr>
      <w:r w:rsidRPr="00C62AF0">
        <w:t xml:space="preserve">5. To prioritize actions for conservation and development; and </w:t>
      </w:r>
    </w:p>
    <w:p w14:paraId="77421770" w14:textId="152EFD41" w:rsidR="0004154E" w:rsidRPr="00C62AF0" w:rsidRDefault="0004154E" w:rsidP="00C62AF0">
      <w:pPr>
        <w:pStyle w:val="Quotation"/>
      </w:pPr>
      <w:r w:rsidRPr="00C62AF0">
        <w:t>6. To establish the appropriate partnerships and local management frameworks for each of the identified projects for conservation and development, as well as to develop mechanisms for the coordination of the various activities between different actors, both public and private.</w:t>
      </w:r>
      <w:r w:rsidR="00C62AF0">
        <w:rPr>
          <w:rStyle w:val="FootnoteReference"/>
        </w:rPr>
        <w:footnoteReference w:id="24"/>
      </w:r>
    </w:p>
    <w:p w14:paraId="559AC922" w14:textId="7E5ACADC" w:rsidR="00D2323B" w:rsidRDefault="00D2323B" w:rsidP="0004154E">
      <w:r w:rsidRPr="00A24A42">
        <w:t xml:space="preserve">A year-long process of public consultation, ‘Imagine Ballarat’ elicited over 6,500 responses and revealed a strong public commitment for the city’s heritage.  </w:t>
      </w:r>
      <w:r w:rsidR="004D64D1" w:rsidRPr="00A24A42">
        <w:t>Th</w:t>
      </w:r>
      <w:r w:rsidR="00A24A42" w:rsidRPr="00A24A42">
        <w:t xml:space="preserve">is </w:t>
      </w:r>
      <w:r w:rsidR="004D64D1" w:rsidRPr="00A24A42">
        <w:t>outcome</w:t>
      </w:r>
      <w:r w:rsidR="00A24A42" w:rsidRPr="00A24A42">
        <w:t xml:space="preserve"> </w:t>
      </w:r>
      <w:r w:rsidR="004D64D1" w:rsidRPr="00A24A42">
        <w:t>gave HUL legitimacy, and set the vision for a strategic plan</w:t>
      </w:r>
      <w:r w:rsidR="00A24A42" w:rsidRPr="00A24A42">
        <w:t xml:space="preserve">, </w:t>
      </w:r>
      <w:r w:rsidR="00A24A42" w:rsidRPr="00A24A42">
        <w:rPr>
          <w:i/>
        </w:rPr>
        <w:t>City of Ballarat, Our People, Culture &amp; Place, A Plan to Sustain Ballarat’s Heritage 2017-2030</w:t>
      </w:r>
      <w:r w:rsidR="004D64D1" w:rsidRPr="00A24A42">
        <w:t>.</w:t>
      </w:r>
      <w:r w:rsidR="002E0BA0">
        <w:t xml:space="preserve">  Work is now underway on the delivery of Local Area Plans (LAP), to implement recommendations of the plan.  </w:t>
      </w:r>
    </w:p>
    <w:p w14:paraId="16F62672" w14:textId="5C6EF95B" w:rsidR="001950C4" w:rsidRDefault="001950C4" w:rsidP="00B42DFF">
      <w:pPr>
        <w:pStyle w:val="Heading5"/>
      </w:pPr>
      <w:r>
        <w:t>Comment</w:t>
      </w:r>
    </w:p>
    <w:p w14:paraId="7FF7020C" w14:textId="63998FAA" w:rsidR="00545588" w:rsidRDefault="00D13E97" w:rsidP="00545588">
      <w:r>
        <w:t xml:space="preserve">The HUL model has the potential to be a potent tool for managing change in urban municipalities with a valued heritage character that are subject to development pressures, as is the case in the CoPP.  It </w:t>
      </w:r>
      <w:r w:rsidR="00BD740B">
        <w:t xml:space="preserve">has been interpreted and applied differently in </w:t>
      </w:r>
      <w:r>
        <w:t xml:space="preserve">cities </w:t>
      </w:r>
      <w:r w:rsidR="00BD740B">
        <w:t xml:space="preserve">around the world, including Amsterdam, Naples, Zanzibar, Rawalpindi and Shanghai.  </w:t>
      </w:r>
      <w:r>
        <w:t xml:space="preserve">In Victoria, the cities of Melbourne and Hobson’s Bay have adopted aspects of the HUL model, as well as Ballarat.  </w:t>
      </w:r>
      <w:r w:rsidR="00BD740B">
        <w:t xml:space="preserve">The </w:t>
      </w:r>
      <w:r>
        <w:t xml:space="preserve">effectiveness of and challenges associated with its </w:t>
      </w:r>
      <w:r w:rsidR="00BD740B">
        <w:t>application depend on local priorities as well as planning and governance structures.</w:t>
      </w:r>
    </w:p>
    <w:p w14:paraId="38DC9374" w14:textId="2CEBFFEF" w:rsidR="00B21745" w:rsidRDefault="00B21745" w:rsidP="00545588">
      <w:r>
        <w:t xml:space="preserve">Consideration of how the model might work to best effect within Port Phillip </w:t>
      </w:r>
      <w:r w:rsidR="00D13E97">
        <w:t>would</w:t>
      </w:r>
      <w:r>
        <w:t xml:space="preserve"> </w:t>
      </w:r>
      <w:r w:rsidR="00D13E97">
        <w:t xml:space="preserve">require analysis of </w:t>
      </w:r>
      <w:r w:rsidR="004D4CBC">
        <w:t xml:space="preserve">the performance of </w:t>
      </w:r>
      <w:r w:rsidR="004518BA">
        <w:t xml:space="preserve">other municipalities (what has worked, and what hasn’t) and options for the </w:t>
      </w:r>
      <w:r w:rsidR="004518BA" w:rsidRPr="004518BA">
        <w:t xml:space="preserve">integration of HUL principles into existing CoPP structures.  </w:t>
      </w:r>
    </w:p>
    <w:p w14:paraId="0344F851" w14:textId="613E639A" w:rsidR="00AD697E" w:rsidRDefault="00FA5A18" w:rsidP="00FA5A18">
      <w:pPr>
        <w:pStyle w:val="Heading1"/>
      </w:pPr>
      <w:bookmarkStart w:id="46" w:name="_Toc522766147"/>
      <w:r>
        <w:lastRenderedPageBreak/>
        <w:t>Local context – t</w:t>
      </w:r>
      <w:r w:rsidR="00872A93">
        <w:t>he C</w:t>
      </w:r>
      <w:r w:rsidR="003D4CF5" w:rsidRPr="003D4CF5">
        <w:t>ity of Port Phillip</w:t>
      </w:r>
      <w:bookmarkEnd w:id="46"/>
    </w:p>
    <w:p w14:paraId="5077C3AB" w14:textId="77777777" w:rsidR="00B91F9A" w:rsidRPr="00DE2CF0" w:rsidRDefault="00B91F9A" w:rsidP="00B91F9A">
      <w:r>
        <w:t>The CoPP’s priorities and objectives for the period leading to 2027 are set out in its corporate plan completed last year.</w:t>
      </w:r>
      <w:r>
        <w:rPr>
          <w:rStyle w:val="FootnoteReference"/>
        </w:rPr>
        <w:footnoteReference w:id="25"/>
      </w:r>
      <w:r>
        <w:t xml:space="preserve">  The Heritage Program is a deliverable under ‘Strategic Direction 4’ (of five) of the plan, ‘We are growing and keeping our character’.  </w:t>
      </w:r>
    </w:p>
    <w:p w14:paraId="1D9A6199" w14:textId="77777777" w:rsidR="00B91F9A" w:rsidRDefault="00B91F9A" w:rsidP="00B91F9A">
      <w:pPr>
        <w:pStyle w:val="list1"/>
        <w:numPr>
          <w:ilvl w:val="0"/>
          <w:numId w:val="0"/>
        </w:numPr>
        <w:rPr>
          <w:caps/>
        </w:rPr>
      </w:pPr>
      <w:r>
        <w:t xml:space="preserve">Outcomes of Strategic Direction 4 by 2027 are: </w:t>
      </w:r>
    </w:p>
    <w:p w14:paraId="469EE254" w14:textId="77777777" w:rsidR="00B91F9A" w:rsidRPr="007215E9" w:rsidRDefault="00B91F9A" w:rsidP="00387A20">
      <w:pPr>
        <w:pStyle w:val="list1"/>
        <w:numPr>
          <w:ilvl w:val="0"/>
          <w:numId w:val="6"/>
        </w:numPr>
        <w:rPr>
          <w:caps/>
        </w:rPr>
      </w:pPr>
      <w:r>
        <w:t xml:space="preserve">Section 4.1: Liveability in a high-density City; </w:t>
      </w:r>
    </w:p>
    <w:p w14:paraId="585D8FC0" w14:textId="77777777" w:rsidR="00B91F9A" w:rsidRPr="007215E9" w:rsidRDefault="00B91F9A" w:rsidP="00387A20">
      <w:pPr>
        <w:pStyle w:val="list1"/>
        <w:numPr>
          <w:ilvl w:val="0"/>
          <w:numId w:val="6"/>
        </w:numPr>
        <w:rPr>
          <w:caps/>
        </w:rPr>
      </w:pPr>
      <w:r>
        <w:t xml:space="preserve">Section 4.2: A City of diverse and distinctive neighbourhoods and places; and </w:t>
      </w:r>
    </w:p>
    <w:p w14:paraId="18608D6C" w14:textId="77777777" w:rsidR="00B91F9A" w:rsidRPr="007215E9" w:rsidRDefault="00B91F9A" w:rsidP="00387A20">
      <w:pPr>
        <w:pStyle w:val="list1"/>
        <w:numPr>
          <w:ilvl w:val="0"/>
          <w:numId w:val="6"/>
        </w:numPr>
        <w:rPr>
          <w:caps/>
        </w:rPr>
      </w:pPr>
      <w:r>
        <w:t>Transforming Fishermans Bend</w:t>
      </w:r>
    </w:p>
    <w:p w14:paraId="4B1E2573" w14:textId="77777777" w:rsidR="00B91F9A" w:rsidRDefault="00B91F9A" w:rsidP="00B91F9A">
      <w:pPr>
        <w:pStyle w:val="list1"/>
        <w:numPr>
          <w:ilvl w:val="0"/>
          <w:numId w:val="0"/>
        </w:numPr>
        <w:rPr>
          <w:caps/>
        </w:rPr>
      </w:pPr>
      <w:r>
        <w:t xml:space="preserve">Section 4.2, A City of diverse and distinctive neighbourhoods and places is of particular relevance to the Heritage Program.  Section 4.2 (c) is as follows: </w:t>
      </w:r>
    </w:p>
    <w:p w14:paraId="5E8F95FA" w14:textId="77777777" w:rsidR="00B91F9A" w:rsidRDefault="00B91F9A" w:rsidP="00B91F9A">
      <w:pPr>
        <w:pStyle w:val="Quotation"/>
        <w:rPr>
          <w:caps/>
        </w:rPr>
      </w:pPr>
      <w:r>
        <w:t xml:space="preserve">Ensuring new development integrates with, respects and contributes to the unique heritage, character and beauty of our neighbourhoods </w:t>
      </w:r>
    </w:p>
    <w:p w14:paraId="4579728F" w14:textId="7F872E72" w:rsidR="00B91F9A" w:rsidRDefault="00B91F9A" w:rsidP="00B91F9A">
      <w:pPr>
        <w:pStyle w:val="list1"/>
        <w:numPr>
          <w:ilvl w:val="0"/>
          <w:numId w:val="0"/>
        </w:numPr>
        <w:rPr>
          <w:caps/>
        </w:rPr>
      </w:pPr>
      <w:r>
        <w:t xml:space="preserve">Priorities in the delivery of this objective by 2021 include: </w:t>
      </w:r>
    </w:p>
    <w:p w14:paraId="5F2CB083" w14:textId="77777777" w:rsidR="00B91F9A" w:rsidRDefault="00B91F9A" w:rsidP="00387A20">
      <w:pPr>
        <w:pStyle w:val="Quotation"/>
        <w:numPr>
          <w:ilvl w:val="0"/>
          <w:numId w:val="6"/>
        </w:numPr>
        <w:rPr>
          <w:caps/>
        </w:rPr>
      </w:pPr>
      <w:r w:rsidRPr="00310149">
        <w:t>Implement</w:t>
      </w:r>
      <w:r>
        <w:t>[ing]</w:t>
      </w:r>
      <w:r w:rsidRPr="00310149">
        <w:t xml:space="preserve"> a program to strengthen heritage controls including assessing sites of cultural and social significance</w:t>
      </w:r>
      <w:r>
        <w:t xml:space="preserve"> and implementing the review of Heritage Overlay 6 (East St Kilda) through the planning scheme </w:t>
      </w:r>
    </w:p>
    <w:p w14:paraId="507C8641" w14:textId="77777777" w:rsidR="00B91F9A" w:rsidRPr="00CD0340" w:rsidRDefault="00B91F9A" w:rsidP="00387A20">
      <w:pPr>
        <w:pStyle w:val="Quotation"/>
        <w:numPr>
          <w:ilvl w:val="0"/>
          <w:numId w:val="6"/>
        </w:numPr>
      </w:pPr>
      <w:r>
        <w:t xml:space="preserve">Review[ing] the Housing Strategy to ensure new residential development is well located and respects the character and heritage of established neighbourhoods </w:t>
      </w:r>
    </w:p>
    <w:p w14:paraId="54373E55" w14:textId="77777777" w:rsidR="00B91F9A" w:rsidRPr="00CD0340" w:rsidRDefault="00B91F9A" w:rsidP="00387A20">
      <w:pPr>
        <w:pStyle w:val="Quotation"/>
        <w:numPr>
          <w:ilvl w:val="0"/>
          <w:numId w:val="6"/>
        </w:numPr>
      </w:pPr>
      <w:r>
        <w:t xml:space="preserve">Review[ing] the Heritage Policy in the Planning Scheme to improve guidance on retention and adaptive re-use of the city’s heritage fabric </w:t>
      </w:r>
    </w:p>
    <w:p w14:paraId="665F3119" w14:textId="77777777" w:rsidR="00B91F9A" w:rsidRPr="00CD0340" w:rsidRDefault="00B91F9A" w:rsidP="00387A20">
      <w:pPr>
        <w:pStyle w:val="Quotation"/>
        <w:numPr>
          <w:ilvl w:val="0"/>
          <w:numId w:val="6"/>
        </w:numPr>
      </w:pPr>
      <w:r>
        <w:t>Reflect[ing] and interpret[ing] the City’s history by installing plaques, memorials and monuments</w:t>
      </w:r>
    </w:p>
    <w:p w14:paraId="6CEB6D56" w14:textId="77777777" w:rsidR="00B91F9A" w:rsidRPr="00CD0340" w:rsidRDefault="00B91F9A" w:rsidP="00387A20">
      <w:pPr>
        <w:pStyle w:val="Quotation"/>
        <w:numPr>
          <w:ilvl w:val="0"/>
          <w:numId w:val="6"/>
        </w:numPr>
      </w:pPr>
      <w:r>
        <w:t>Upgrad[ing] the foreshore including vegetation projects and maritime infrastructure renewals</w:t>
      </w:r>
    </w:p>
    <w:p w14:paraId="317FF439" w14:textId="520C15DB" w:rsidR="00B91F9A" w:rsidRPr="00B91F9A" w:rsidRDefault="00B91F9A" w:rsidP="00B91F9A">
      <w:pPr>
        <w:pStyle w:val="Heading2"/>
      </w:pPr>
      <w:bookmarkStart w:id="47" w:name="_Toc522766148"/>
      <w:r>
        <w:t>Municipal profile</w:t>
      </w:r>
      <w:bookmarkEnd w:id="47"/>
    </w:p>
    <w:p w14:paraId="07F6FDAB" w14:textId="5C03FAEA" w:rsidR="006426E4" w:rsidRDefault="006426E4" w:rsidP="006426E4">
      <w:r>
        <w:t>A high-level summary of municipal characteristics an</w:t>
      </w:r>
      <w:r w:rsidR="0024496D">
        <w:t xml:space="preserve">d qualities of relevance to the community consultation campaign </w:t>
      </w:r>
      <w:r>
        <w:t xml:space="preserve">is </w:t>
      </w:r>
      <w:r w:rsidR="00B91F9A">
        <w:t>included</w:t>
      </w:r>
      <w:r>
        <w:t xml:space="preserve"> at </w:t>
      </w:r>
      <w:r>
        <w:fldChar w:fldCharType="begin"/>
      </w:r>
      <w:r>
        <w:instrText xml:space="preserve"> REF _Ref518914047 \h </w:instrText>
      </w:r>
      <w:r>
        <w:fldChar w:fldCharType="separate"/>
      </w:r>
      <w:r w:rsidR="003E105F">
        <w:t xml:space="preserve">Table </w:t>
      </w:r>
      <w:r w:rsidR="003E105F">
        <w:rPr>
          <w:noProof/>
        </w:rPr>
        <w:t>1</w:t>
      </w:r>
      <w:r>
        <w:fldChar w:fldCharType="end"/>
      </w:r>
      <w:r>
        <w:t xml:space="preserve">.  </w:t>
      </w:r>
    </w:p>
    <w:p w14:paraId="296E2C1E" w14:textId="687B885B" w:rsidR="006426E4" w:rsidRDefault="006426E4" w:rsidP="006426E4">
      <w:pPr>
        <w:pStyle w:val="Caption"/>
      </w:pPr>
      <w:bookmarkStart w:id="48" w:name="_Ref518914047"/>
      <w:r>
        <w:lastRenderedPageBreak/>
        <w:t xml:space="preserve">Table </w:t>
      </w:r>
      <w:r w:rsidR="00B71F81">
        <w:rPr>
          <w:noProof/>
        </w:rPr>
        <w:fldChar w:fldCharType="begin"/>
      </w:r>
      <w:r w:rsidR="00B71F81">
        <w:rPr>
          <w:noProof/>
        </w:rPr>
        <w:instrText xml:space="preserve"> SEQ Table \* ARABIC </w:instrText>
      </w:r>
      <w:r w:rsidR="00B71F81">
        <w:rPr>
          <w:noProof/>
        </w:rPr>
        <w:fldChar w:fldCharType="separate"/>
      </w:r>
      <w:r w:rsidR="003E105F">
        <w:rPr>
          <w:noProof/>
        </w:rPr>
        <w:t>1</w:t>
      </w:r>
      <w:r w:rsidR="00B71F81">
        <w:rPr>
          <w:noProof/>
        </w:rPr>
        <w:fldChar w:fldCharType="end"/>
      </w:r>
      <w:bookmarkEnd w:id="48"/>
      <w:r>
        <w:tab/>
        <w:t>Port Phillip: summary of municipal characteristics</w:t>
      </w:r>
    </w:p>
    <w:tbl>
      <w:tblPr>
        <w:tblStyle w:val="TableGrid"/>
        <w:tblW w:w="8642" w:type="dxa"/>
        <w:tblLook w:val="04A0" w:firstRow="1" w:lastRow="0" w:firstColumn="1" w:lastColumn="0" w:noHBand="0" w:noVBand="1"/>
      </w:tblPr>
      <w:tblGrid>
        <w:gridCol w:w="1317"/>
        <w:gridCol w:w="7325"/>
      </w:tblGrid>
      <w:tr w:rsidR="006426E4" w:rsidRPr="00EC4509" w14:paraId="3DDA912A" w14:textId="77777777" w:rsidTr="004518BA">
        <w:trPr>
          <w:tblHeader/>
        </w:trPr>
        <w:tc>
          <w:tcPr>
            <w:tcW w:w="1271" w:type="dxa"/>
          </w:tcPr>
          <w:p w14:paraId="029F3EB4" w14:textId="77777777" w:rsidR="006426E4" w:rsidRPr="00EC4509" w:rsidRDefault="006426E4" w:rsidP="006426E4">
            <w:pPr>
              <w:rPr>
                <w:b/>
                <w:i/>
              </w:rPr>
            </w:pPr>
            <w:r w:rsidRPr="00EC4509">
              <w:rPr>
                <w:b/>
                <w:i/>
              </w:rPr>
              <w:t xml:space="preserve">Issue </w:t>
            </w:r>
          </w:p>
        </w:tc>
        <w:tc>
          <w:tcPr>
            <w:tcW w:w="7371" w:type="dxa"/>
          </w:tcPr>
          <w:p w14:paraId="32353261" w14:textId="77777777" w:rsidR="006426E4" w:rsidRPr="00EC4509" w:rsidRDefault="006426E4" w:rsidP="006426E4">
            <w:pPr>
              <w:rPr>
                <w:b/>
                <w:i/>
              </w:rPr>
            </w:pPr>
            <w:r w:rsidRPr="00EC4509">
              <w:rPr>
                <w:b/>
                <w:i/>
              </w:rPr>
              <w:t xml:space="preserve">Comment </w:t>
            </w:r>
          </w:p>
        </w:tc>
      </w:tr>
      <w:tr w:rsidR="006426E4" w14:paraId="33543C8A" w14:textId="77777777" w:rsidTr="004518BA">
        <w:tc>
          <w:tcPr>
            <w:tcW w:w="1271" w:type="dxa"/>
          </w:tcPr>
          <w:p w14:paraId="04FFC9E5" w14:textId="77777777" w:rsidR="006426E4" w:rsidRPr="00EC4509" w:rsidRDefault="006426E4" w:rsidP="006426E4">
            <w:pPr>
              <w:pStyle w:val="Heading5"/>
              <w:rPr>
                <w:i w:val="0"/>
              </w:rPr>
            </w:pPr>
            <w:r w:rsidRPr="00EC4509">
              <w:rPr>
                <w:i w:val="0"/>
              </w:rPr>
              <w:t>Development and density</w:t>
            </w:r>
          </w:p>
        </w:tc>
        <w:tc>
          <w:tcPr>
            <w:tcW w:w="7371" w:type="dxa"/>
          </w:tcPr>
          <w:p w14:paraId="63F118E0" w14:textId="2E918BEE" w:rsidR="006426E4" w:rsidRDefault="006426E4" w:rsidP="006426E4">
            <w:r>
              <w:t xml:space="preserve">The CoPP is an urban area of </w:t>
            </w:r>
            <w:r w:rsidR="008B2D16">
              <w:t xml:space="preserve">approximately </w:t>
            </w:r>
            <w:r>
              <w:t xml:space="preserve">21 square kilometres area with a population of </w:t>
            </w:r>
            <w:r w:rsidR="008B2D16">
              <w:t>c.</w:t>
            </w:r>
            <w:r>
              <w:t xml:space="preserve"> 110,000.  </w:t>
            </w:r>
            <w:r w:rsidR="00B91F9A">
              <w:t>This figure is an increase of 16 per cent since 2008,</w:t>
            </w:r>
            <w:r w:rsidR="00B91F9A">
              <w:rPr>
                <w:rStyle w:val="FootnoteReference"/>
              </w:rPr>
              <w:footnoteReference w:id="26"/>
            </w:r>
            <w:r w:rsidR="00B91F9A">
              <w:t xml:space="preserve"> and p</w:t>
            </w:r>
            <w:r>
              <w:t>opulation g</w:t>
            </w:r>
            <w:r w:rsidRPr="00EB0849">
              <w:t xml:space="preserve">rowth to </w:t>
            </w:r>
            <w:r>
              <w:t xml:space="preserve">c. </w:t>
            </w:r>
            <w:r w:rsidRPr="00EB0849">
              <w:t xml:space="preserve">168,000 </w:t>
            </w:r>
            <w:r w:rsidR="008B2D16">
              <w:t>i</w:t>
            </w:r>
            <w:r>
              <w:t xml:space="preserve">s </w:t>
            </w:r>
            <w:r w:rsidRPr="00EB0849">
              <w:t>anticipated by 204</w:t>
            </w:r>
            <w:r w:rsidR="000F07B2">
              <w:t>1.</w:t>
            </w:r>
            <w:r w:rsidR="000F07B2">
              <w:rPr>
                <w:rStyle w:val="FootnoteReference"/>
              </w:rPr>
              <w:footnoteReference w:id="27"/>
            </w:r>
          </w:p>
        </w:tc>
      </w:tr>
      <w:tr w:rsidR="006426E4" w14:paraId="2C9FDCD3" w14:textId="77777777" w:rsidTr="004518BA">
        <w:tc>
          <w:tcPr>
            <w:tcW w:w="1271" w:type="dxa"/>
          </w:tcPr>
          <w:p w14:paraId="41A35AF1" w14:textId="77777777" w:rsidR="006426E4" w:rsidRPr="00EC4509" w:rsidRDefault="006426E4" w:rsidP="006426E4">
            <w:pPr>
              <w:pStyle w:val="Heading5"/>
              <w:rPr>
                <w:i w:val="0"/>
              </w:rPr>
            </w:pPr>
            <w:r w:rsidRPr="00EC4509">
              <w:rPr>
                <w:i w:val="0"/>
              </w:rPr>
              <w:t>Population profile</w:t>
            </w:r>
          </w:p>
        </w:tc>
        <w:tc>
          <w:tcPr>
            <w:tcW w:w="7371" w:type="dxa"/>
          </w:tcPr>
          <w:p w14:paraId="7ABA32B5" w14:textId="6A7B8BAB" w:rsidR="0024496D" w:rsidRDefault="00B91F9A" w:rsidP="000F07B2">
            <w:pPr>
              <w:pStyle w:val="list1"/>
              <w:numPr>
                <w:ilvl w:val="0"/>
                <w:numId w:val="0"/>
              </w:numPr>
            </w:pPr>
            <w:r>
              <w:t xml:space="preserve">The median age of </w:t>
            </w:r>
            <w:r w:rsidR="0024496D">
              <w:t>local residents</w:t>
            </w:r>
            <w:r>
              <w:t xml:space="preserve"> is 36, with </w:t>
            </w:r>
            <w:r w:rsidR="006426E4" w:rsidRPr="00EB0849">
              <w:t xml:space="preserve">20-39-year-olds </w:t>
            </w:r>
            <w:r>
              <w:t xml:space="preserve">being the </w:t>
            </w:r>
            <w:r w:rsidR="0024496D">
              <w:t>dominant group.</w:t>
            </w:r>
            <w:r w:rsidR="0024496D">
              <w:rPr>
                <w:rStyle w:val="FootnoteReference"/>
              </w:rPr>
              <w:footnoteReference w:id="28"/>
            </w:r>
            <w:r w:rsidR="0024496D">
              <w:t xml:space="preserve">  </w:t>
            </w:r>
          </w:p>
          <w:p w14:paraId="0D4E60DF" w14:textId="77777777" w:rsidR="0024496D" w:rsidRDefault="0024496D" w:rsidP="0024496D">
            <w:pPr>
              <w:pStyle w:val="list1"/>
              <w:numPr>
                <w:ilvl w:val="0"/>
                <w:numId w:val="0"/>
              </w:numPr>
            </w:pPr>
            <w:r>
              <w:t>There are large</w:t>
            </w:r>
            <w:r w:rsidR="006426E4" w:rsidRPr="00EB0849">
              <w:t xml:space="preserve"> Jewish, </w:t>
            </w:r>
            <w:r>
              <w:t xml:space="preserve">Greek and Russian </w:t>
            </w:r>
            <w:r w:rsidR="006426E4" w:rsidRPr="00EB0849">
              <w:t xml:space="preserve">communities </w:t>
            </w:r>
            <w:r>
              <w:t xml:space="preserve">in the CoPP, as well as communities from other ethnic backgrounds.  The Russian community is strongly identified with the Balaclava area; the Greeks with Port Melbourne; and the Jewish community is a prominent presence is St Kilda East and Balaclava.  </w:t>
            </w:r>
          </w:p>
          <w:p w14:paraId="2983494D" w14:textId="585ED961" w:rsidR="006426E4" w:rsidRDefault="006426E4" w:rsidP="0024496D">
            <w:pPr>
              <w:pStyle w:val="list1"/>
              <w:numPr>
                <w:ilvl w:val="0"/>
                <w:numId w:val="0"/>
              </w:numPr>
            </w:pPr>
            <w:r w:rsidRPr="00EB0849">
              <w:t>T</w:t>
            </w:r>
            <w:r w:rsidR="0024496D">
              <w:t xml:space="preserve">here is a large transient population, with 49.2 per cent </w:t>
            </w:r>
            <w:r w:rsidR="0024496D" w:rsidRPr="0024496D">
              <w:t>of residents rent</w:t>
            </w:r>
            <w:r w:rsidR="0024496D">
              <w:t>ing</w:t>
            </w:r>
            <w:r w:rsidR="0024496D" w:rsidRPr="0024496D">
              <w:t xml:space="preserve"> their home</w:t>
            </w:r>
            <w:r w:rsidR="0024496D">
              <w:t xml:space="preserve">. </w:t>
            </w:r>
            <w:r w:rsidR="0024496D">
              <w:rPr>
                <w:rStyle w:val="FootnoteReference"/>
              </w:rPr>
              <w:footnoteReference w:id="29"/>
            </w:r>
          </w:p>
        </w:tc>
      </w:tr>
      <w:tr w:rsidR="006426E4" w14:paraId="43067579" w14:textId="77777777" w:rsidTr="004518BA">
        <w:tc>
          <w:tcPr>
            <w:tcW w:w="1271" w:type="dxa"/>
          </w:tcPr>
          <w:p w14:paraId="0BE759EE" w14:textId="77777777" w:rsidR="006426E4" w:rsidRPr="00EC4509" w:rsidRDefault="006426E4" w:rsidP="006426E4">
            <w:pPr>
              <w:pStyle w:val="Heading5"/>
              <w:rPr>
                <w:i w:val="0"/>
              </w:rPr>
            </w:pPr>
            <w:r w:rsidRPr="00EC4509">
              <w:rPr>
                <w:i w:val="0"/>
              </w:rPr>
              <w:t>Character and identity</w:t>
            </w:r>
          </w:p>
        </w:tc>
        <w:tc>
          <w:tcPr>
            <w:tcW w:w="7371" w:type="dxa"/>
          </w:tcPr>
          <w:p w14:paraId="36ED2739" w14:textId="286EA001" w:rsidR="006426E4" w:rsidRPr="00B824EA" w:rsidRDefault="006426E4" w:rsidP="00D27180">
            <w:pPr>
              <w:rPr>
                <w:highlight w:val="yellow"/>
              </w:rPr>
            </w:pPr>
            <w:r>
              <w:t>The CoPP is comprised of the former cities of Port Melbourne,</w:t>
            </w:r>
            <w:r w:rsidR="00D27180">
              <w:t xml:space="preserve"> South Melbourne and St Kilda; </w:t>
            </w:r>
            <w:r>
              <w:t xml:space="preserve">they were amalgamated in 1994.  </w:t>
            </w:r>
            <w:r w:rsidR="00D27180">
              <w:t xml:space="preserve">Longer-term residents identify strongly with these historic </w:t>
            </w:r>
            <w:r w:rsidR="00341592">
              <w:t xml:space="preserve">municipal boundaries, and neighbourhoods within them, </w:t>
            </w:r>
            <w:r w:rsidR="00806A51">
              <w:t>including</w:t>
            </w:r>
            <w:r w:rsidR="00341592">
              <w:t xml:space="preserve"> </w:t>
            </w:r>
            <w:r w:rsidR="00341592" w:rsidRPr="00341592">
              <w:t>East St Kilda, Elwood-Ripponlea, Middle Park-Albert Park, Port Melbourne, South Melbourne, St Kilda and St Kilda Road.</w:t>
            </w:r>
            <w:r w:rsidR="00341592" w:rsidRPr="00806A51">
              <w:t xml:space="preserve"> </w:t>
            </w:r>
            <w:r w:rsidR="00806A51" w:rsidRPr="00806A51">
              <w:t xml:space="preserve"> The social, economic and cultural forces that have shaped </w:t>
            </w:r>
            <w:r w:rsidR="00D27180" w:rsidRPr="00806A51">
              <w:t>St Kilda</w:t>
            </w:r>
            <w:r w:rsidR="00806A51" w:rsidRPr="00806A51">
              <w:t>, Port Melbourne and South Melbourne are expressed in the varied and distinct</w:t>
            </w:r>
            <w:r w:rsidR="00B824EA">
              <w:t xml:space="preserve"> built characters of these areas.  </w:t>
            </w:r>
            <w:r w:rsidR="00341592">
              <w:t xml:space="preserve"> </w:t>
            </w:r>
          </w:p>
        </w:tc>
      </w:tr>
      <w:tr w:rsidR="006426E4" w14:paraId="7D0E007B" w14:textId="77777777" w:rsidTr="004518BA">
        <w:tc>
          <w:tcPr>
            <w:tcW w:w="1271" w:type="dxa"/>
          </w:tcPr>
          <w:p w14:paraId="3BB1ABD8" w14:textId="13EE08BD" w:rsidR="006426E4" w:rsidRPr="00B91F9A" w:rsidRDefault="006426E4" w:rsidP="00B91F9A">
            <w:pPr>
              <w:pStyle w:val="list1"/>
              <w:numPr>
                <w:ilvl w:val="0"/>
                <w:numId w:val="0"/>
              </w:numPr>
            </w:pPr>
            <w:r w:rsidRPr="00EC4509">
              <w:t xml:space="preserve">Civil society </w:t>
            </w:r>
          </w:p>
        </w:tc>
        <w:tc>
          <w:tcPr>
            <w:tcW w:w="7371" w:type="dxa"/>
          </w:tcPr>
          <w:p w14:paraId="48A3A0E6" w14:textId="56671F97" w:rsidR="00B91F9A" w:rsidRDefault="00B91F9A" w:rsidP="006426E4">
            <w:r w:rsidRPr="00EC4509">
              <w:t>There is a long tradition</w:t>
            </w:r>
            <w:r w:rsidR="00341592">
              <w:t xml:space="preserve"> of community campaigns </w:t>
            </w:r>
            <w:r w:rsidRPr="00EC4509">
              <w:t xml:space="preserve">in support of heritage </w:t>
            </w:r>
            <w:r w:rsidR="00341592">
              <w:t xml:space="preserve">places and valued municipal characteristics </w:t>
            </w:r>
            <w:r w:rsidRPr="00EC4509">
              <w:t>in the CoPP</w:t>
            </w:r>
            <w:r w:rsidR="00341592">
              <w:t>.  Examples include:</w:t>
            </w:r>
          </w:p>
          <w:p w14:paraId="05F4C562" w14:textId="77777777" w:rsidR="00341592" w:rsidRDefault="006426E4" w:rsidP="00387A20">
            <w:pPr>
              <w:pStyle w:val="ListParagraph"/>
              <w:numPr>
                <w:ilvl w:val="0"/>
                <w:numId w:val="6"/>
              </w:numPr>
            </w:pPr>
            <w:r w:rsidRPr="00341592">
              <w:rPr>
                <w:i/>
              </w:rPr>
              <w:t>Save Albert Park, 1994</w:t>
            </w:r>
            <w:r>
              <w:t>: In response to the proposal for Melbourne t</w:t>
            </w:r>
            <w:r w:rsidR="00341592">
              <w:t xml:space="preserve">o host the Grand Prix, </w:t>
            </w:r>
            <w:r>
              <w:t>residents and members of the broader community joined a campaign to protect the park from adverse effects.</w:t>
            </w:r>
          </w:p>
          <w:p w14:paraId="4C7F2C43" w14:textId="1AD821EE" w:rsidR="00341592" w:rsidRDefault="00341592" w:rsidP="00387A20">
            <w:pPr>
              <w:pStyle w:val="ListParagraph"/>
              <w:numPr>
                <w:ilvl w:val="0"/>
                <w:numId w:val="6"/>
              </w:numPr>
            </w:pPr>
            <w:r w:rsidRPr="00341592">
              <w:rPr>
                <w:i/>
              </w:rPr>
              <w:t>Save The Espy, 1980s and mid-1990s</w:t>
            </w:r>
            <w:r>
              <w:t xml:space="preserve">: </w:t>
            </w:r>
            <w:r w:rsidR="006426E4">
              <w:t xml:space="preserve">The proposed redevelopment of the Esplanade Hotel (the Espy) attracted community concern for </w:t>
            </w:r>
            <w:r>
              <w:t xml:space="preserve">impacts on the well-known hotel and music venue. </w:t>
            </w:r>
          </w:p>
          <w:p w14:paraId="512272B4" w14:textId="6F9CE75A" w:rsidR="00341592" w:rsidRDefault="006426E4" w:rsidP="00387A20">
            <w:pPr>
              <w:pStyle w:val="ListParagraph"/>
              <w:numPr>
                <w:ilvl w:val="0"/>
                <w:numId w:val="6"/>
              </w:numPr>
            </w:pPr>
            <w:r w:rsidRPr="00341592">
              <w:rPr>
                <w:i/>
              </w:rPr>
              <w:t xml:space="preserve">St Kilda </w:t>
            </w:r>
            <w:r w:rsidR="00E15477">
              <w:rPr>
                <w:i/>
              </w:rPr>
              <w:t>T</w:t>
            </w:r>
            <w:r w:rsidRPr="00341592">
              <w:rPr>
                <w:i/>
              </w:rPr>
              <w:t>riangle</w:t>
            </w:r>
            <w:r w:rsidR="00341592">
              <w:rPr>
                <w:i/>
              </w:rPr>
              <w:t>, mid-2000s</w:t>
            </w:r>
            <w:r w:rsidR="00E15477">
              <w:t>: Community protest against proposals to redevelop the St Kilda T</w:t>
            </w:r>
            <w:r>
              <w:t xml:space="preserve">riangle </w:t>
            </w:r>
            <w:r w:rsidR="00E15477">
              <w:t xml:space="preserve">has been a factor in plans being shelved. </w:t>
            </w:r>
          </w:p>
          <w:p w14:paraId="4C0B0018" w14:textId="77777777" w:rsidR="00341592" w:rsidRDefault="006426E4" w:rsidP="00387A20">
            <w:pPr>
              <w:pStyle w:val="ListParagraph"/>
              <w:numPr>
                <w:ilvl w:val="0"/>
                <w:numId w:val="6"/>
              </w:numPr>
            </w:pPr>
            <w:r w:rsidRPr="00341592">
              <w:rPr>
                <w:i/>
              </w:rPr>
              <w:t>The Astor, 2012, 2014</w:t>
            </w:r>
            <w:r>
              <w:t>: When the owner of t</w:t>
            </w:r>
            <w:r w:rsidR="00341592">
              <w:t>he theatre, St Michaels School, released plans to adapt it as</w:t>
            </w:r>
            <w:r>
              <w:t xml:space="preserve"> a multipurpose performing arts complex, the community agitated to save the theatre. </w:t>
            </w:r>
            <w:r w:rsidR="00341592">
              <w:t xml:space="preserve"> C</w:t>
            </w:r>
            <w:r>
              <w:t xml:space="preserve">ommunity pressure </w:t>
            </w:r>
            <w:r w:rsidR="00341592">
              <w:t xml:space="preserve">resulted in it being sold.  The Astor remains a </w:t>
            </w:r>
            <w:r>
              <w:t xml:space="preserve">movie theatre. </w:t>
            </w:r>
          </w:p>
          <w:p w14:paraId="5BAFA9B2" w14:textId="5F8F7A06" w:rsidR="000F07B2" w:rsidRPr="00341592" w:rsidRDefault="00056BEA" w:rsidP="00387A20">
            <w:pPr>
              <w:pStyle w:val="ListParagraph"/>
              <w:numPr>
                <w:ilvl w:val="0"/>
                <w:numId w:val="6"/>
              </w:numPr>
            </w:pPr>
            <w:r w:rsidRPr="00341592">
              <w:rPr>
                <w:i/>
              </w:rPr>
              <w:t>Brookes Jetty</w:t>
            </w:r>
            <w:r w:rsidR="00341592">
              <w:rPr>
                <w:i/>
              </w:rPr>
              <w:t>, 2016/17</w:t>
            </w:r>
            <w:r w:rsidR="00985126" w:rsidRPr="00341592">
              <w:rPr>
                <w:i/>
              </w:rPr>
              <w:t xml:space="preserve">: </w:t>
            </w:r>
            <w:r w:rsidR="00E15477">
              <w:t xml:space="preserve">Campaign to protect a timber jetty raised above an outfall drain.  The jetty has been removed.  </w:t>
            </w:r>
          </w:p>
        </w:tc>
      </w:tr>
    </w:tbl>
    <w:p w14:paraId="5C3235FE" w14:textId="7F37010E" w:rsidR="00E15477" w:rsidRPr="001D2F40" w:rsidRDefault="001B3AF2" w:rsidP="00E15477">
      <w:pPr>
        <w:pStyle w:val="Heading2"/>
      </w:pPr>
      <w:bookmarkStart w:id="49" w:name="_Ref522617733"/>
      <w:bookmarkStart w:id="50" w:name="_Ref522620960"/>
      <w:bookmarkStart w:id="51" w:name="_Toc522766149"/>
      <w:r>
        <w:lastRenderedPageBreak/>
        <w:t>Limitations of the</w:t>
      </w:r>
      <w:r w:rsidR="00E15477" w:rsidRPr="001D2F40">
        <w:t xml:space="preserve"> Planning Scheme</w:t>
      </w:r>
      <w:bookmarkEnd w:id="49"/>
      <w:bookmarkEnd w:id="50"/>
      <w:bookmarkEnd w:id="51"/>
      <w:r w:rsidR="00E15477" w:rsidRPr="001D2F40">
        <w:t xml:space="preserve"> </w:t>
      </w:r>
    </w:p>
    <w:p w14:paraId="1C37F99D" w14:textId="22A7E586" w:rsidR="001B3AF2" w:rsidRDefault="00AA258D" w:rsidP="00E15477">
      <w:r>
        <w:t>The Port Phillip</w:t>
      </w:r>
      <w:r w:rsidR="00E15477">
        <w:t xml:space="preserve"> Planning Scheme is established under the </w:t>
      </w:r>
      <w:r w:rsidR="00E15477" w:rsidRPr="009C2677">
        <w:rPr>
          <w:i/>
        </w:rPr>
        <w:t>Planning and Environment Act, 1987</w:t>
      </w:r>
      <w:r w:rsidR="00E15477" w:rsidRPr="0046570C">
        <w:t xml:space="preserve"> (Victoria)</w:t>
      </w:r>
      <w:r w:rsidR="00E15477">
        <w:t xml:space="preserve">, the </w:t>
      </w:r>
      <w:r w:rsidR="00E15477" w:rsidRPr="0046570C">
        <w:t xml:space="preserve">purpose of which is to </w:t>
      </w:r>
      <w:r w:rsidR="00E15477" w:rsidRPr="009C2677">
        <w:t xml:space="preserve">establish a framework for planning the use, development and protection of land in </w:t>
      </w:r>
      <w:r w:rsidR="00A12098">
        <w:t>the State</w:t>
      </w:r>
      <w:r w:rsidR="00E15477">
        <w:t xml:space="preserve">.  </w:t>
      </w:r>
    </w:p>
    <w:p w14:paraId="579FA038" w14:textId="41F5E73F" w:rsidR="001D3FA6" w:rsidRDefault="001D3FA6" w:rsidP="001D3FA6">
      <w:r>
        <w:t>Objectives of planning in Victoria</w:t>
      </w:r>
      <w:r w:rsidR="00A12098">
        <w:t xml:space="preserve"> </w:t>
      </w:r>
      <w:r>
        <w:t xml:space="preserve">are: </w:t>
      </w:r>
    </w:p>
    <w:p w14:paraId="711F5B97" w14:textId="359985F3" w:rsidR="001D3FA6" w:rsidRDefault="00853593" w:rsidP="00A12098">
      <w:pPr>
        <w:pStyle w:val="Quotation"/>
        <w:ind w:left="720"/>
      </w:pPr>
      <w:r w:rsidRPr="001D3FA6">
        <w:t>(a) to provide for the fair, orderly, economic and sustainable use, and</w:t>
      </w:r>
      <w:r w:rsidR="001D3FA6">
        <w:t xml:space="preserve"> </w:t>
      </w:r>
      <w:hyperlink r:id="rId25" w:anchor="development" w:history="1">
        <w:r w:rsidRPr="001D3FA6">
          <w:t>development</w:t>
        </w:r>
      </w:hyperlink>
      <w:r w:rsidR="001D3FA6">
        <w:t xml:space="preserve"> </w:t>
      </w:r>
      <w:r w:rsidRPr="001D3FA6">
        <w:t>of</w:t>
      </w:r>
      <w:r w:rsidR="001D3FA6">
        <w:t xml:space="preserve"> </w:t>
      </w:r>
      <w:hyperlink r:id="rId26" w:anchor="land" w:history="1">
        <w:r w:rsidRPr="001D3FA6">
          <w:t>land</w:t>
        </w:r>
      </w:hyperlink>
      <w:r w:rsidRPr="001D3FA6">
        <w:t>;</w:t>
      </w:r>
    </w:p>
    <w:p w14:paraId="02920496" w14:textId="3AE1524E" w:rsidR="00853593" w:rsidRPr="001D3FA6" w:rsidRDefault="00853593" w:rsidP="00A12098">
      <w:pPr>
        <w:pStyle w:val="Quotation"/>
        <w:ind w:left="720"/>
      </w:pPr>
      <w:r w:rsidRPr="001D3FA6">
        <w:t>(b) to provide for the protection of natural and man-made resources and the maintenance of ecological processes and genetic diversity;</w:t>
      </w:r>
    </w:p>
    <w:p w14:paraId="36C69D79" w14:textId="2EA3E930" w:rsidR="00853593" w:rsidRPr="001D3FA6" w:rsidRDefault="001D3FA6" w:rsidP="00A12098">
      <w:pPr>
        <w:pStyle w:val="Quotation"/>
        <w:ind w:left="720"/>
      </w:pPr>
      <w:r>
        <w:t xml:space="preserve">(c) </w:t>
      </w:r>
      <w:r w:rsidR="00853593" w:rsidRPr="001D3FA6">
        <w:t>to secure a pleasant, efficient and safe working, living and recreational environment for all Victorians and visitors to Victoria;</w:t>
      </w:r>
    </w:p>
    <w:p w14:paraId="013ED2D4" w14:textId="71E6874B" w:rsidR="001D3FA6" w:rsidRDefault="001D3FA6" w:rsidP="00A12098">
      <w:pPr>
        <w:pStyle w:val="Quotation"/>
        <w:ind w:left="720"/>
      </w:pPr>
      <w:r>
        <w:t>(</w:t>
      </w:r>
      <w:r w:rsidR="00853593" w:rsidRPr="001D3FA6">
        <w:t>d) to conserve and enhance those</w:t>
      </w:r>
      <w:r>
        <w:t xml:space="preserve"> </w:t>
      </w:r>
      <w:hyperlink r:id="rId27" w:anchor="building" w:history="1">
        <w:r w:rsidR="00853593" w:rsidRPr="001D3FA6">
          <w:t>buildings</w:t>
        </w:r>
      </w:hyperlink>
      <w:r w:rsidR="00853593" w:rsidRPr="001D3FA6">
        <w:t>,</w:t>
      </w:r>
      <w:r>
        <w:t xml:space="preserve"> </w:t>
      </w:r>
      <w:hyperlink r:id="rId28" w:anchor="area" w:history="1">
        <w:r w:rsidR="00853593" w:rsidRPr="001D3FA6">
          <w:t>areas</w:t>
        </w:r>
      </w:hyperlink>
      <w:r>
        <w:t xml:space="preserve"> </w:t>
      </w:r>
      <w:r w:rsidR="00853593" w:rsidRPr="001D3FA6">
        <w:t>or other places which are of scientific, aesthetic, architectural or historical interest, or otherwise of special cultural value;</w:t>
      </w:r>
    </w:p>
    <w:p w14:paraId="54E51628" w14:textId="5F23F36F" w:rsidR="00853593" w:rsidRPr="001D3FA6" w:rsidRDefault="00853593" w:rsidP="00A12098">
      <w:pPr>
        <w:pStyle w:val="Quotation"/>
        <w:ind w:left="720"/>
      </w:pPr>
      <w:r w:rsidRPr="001D3FA6">
        <w:t>(e) to protect public utilities and other assets and enable the orderly provision and co</w:t>
      </w:r>
      <w:r w:rsidRPr="001D3FA6">
        <w:noBreakHyphen/>
        <w:t>ordination of public utilities and other facilities for the benefit of the community;</w:t>
      </w:r>
    </w:p>
    <w:p w14:paraId="738FD192" w14:textId="33E149CC" w:rsidR="00853593" w:rsidRPr="001D3FA6" w:rsidRDefault="00853593" w:rsidP="00A12098">
      <w:pPr>
        <w:pStyle w:val="Quotation"/>
        <w:ind w:left="720"/>
      </w:pPr>
      <w:r w:rsidRPr="001D3FA6">
        <w:t xml:space="preserve">(f) </w:t>
      </w:r>
      <w:r w:rsidR="001D3FA6" w:rsidRPr="001D3FA6">
        <w:t>t</w:t>
      </w:r>
      <w:r w:rsidRPr="001D3FA6">
        <w:t>o facilitate</w:t>
      </w:r>
      <w:r w:rsidR="00D30274">
        <w:t xml:space="preserve"> </w:t>
      </w:r>
      <w:hyperlink r:id="rId29" w:anchor="development" w:history="1">
        <w:r w:rsidRPr="001D3FA6">
          <w:t>development</w:t>
        </w:r>
      </w:hyperlink>
      <w:r w:rsidR="001D3FA6">
        <w:t xml:space="preserve"> </w:t>
      </w:r>
      <w:r w:rsidRPr="001D3FA6">
        <w:t>in accordance with the objectives set out in paragraphs (a), (b), (c), (d) and (e);</w:t>
      </w:r>
    </w:p>
    <w:p w14:paraId="7D4E879C" w14:textId="5E5EA667" w:rsidR="00853593" w:rsidRPr="001D3FA6" w:rsidRDefault="00853593" w:rsidP="00A12098">
      <w:pPr>
        <w:pStyle w:val="Quotation"/>
        <w:ind w:left="720"/>
      </w:pPr>
      <w:r w:rsidRPr="001D3FA6">
        <w:t>(fa) to facilitate the provision of affordable housing in Victoria;</w:t>
      </w:r>
    </w:p>
    <w:p w14:paraId="48B5564B" w14:textId="568C0940" w:rsidR="00853593" w:rsidRPr="001D3FA6" w:rsidRDefault="00853593" w:rsidP="00A12098">
      <w:pPr>
        <w:pStyle w:val="Quotation"/>
        <w:ind w:left="720"/>
      </w:pPr>
      <w:r w:rsidRPr="001D3FA6">
        <w:t>(g) to balance the present and future interests of all Victorians.</w:t>
      </w:r>
      <w:r w:rsidR="00D30274">
        <w:rPr>
          <w:rStyle w:val="FootnoteReference"/>
        </w:rPr>
        <w:footnoteReference w:id="30"/>
      </w:r>
    </w:p>
    <w:p w14:paraId="2D300695" w14:textId="64D8F332" w:rsidR="00E15477" w:rsidRDefault="00E15477" w:rsidP="00E15477">
      <w:r w:rsidRPr="009C2677">
        <w:t xml:space="preserve">The </w:t>
      </w:r>
      <w:r w:rsidR="00D30274" w:rsidRPr="009C2677">
        <w:rPr>
          <w:i/>
        </w:rPr>
        <w:t>Planning and Environment Act</w:t>
      </w:r>
      <w:r w:rsidR="00D30274" w:rsidRPr="009C2677">
        <w:t xml:space="preserve"> </w:t>
      </w:r>
      <w:r w:rsidRPr="009C2677">
        <w:t xml:space="preserve">is 'enabling' legislation. </w:t>
      </w:r>
      <w:r>
        <w:t xml:space="preserve"> I</w:t>
      </w:r>
      <w:r w:rsidRPr="009C2677">
        <w:t xml:space="preserve">t does not define the scope of planning, </w:t>
      </w:r>
      <w:r>
        <w:t xml:space="preserve">how it should be implemented </w:t>
      </w:r>
      <w:r w:rsidRPr="009C2677">
        <w:t xml:space="preserve">or the detailed rules that should apply to land use and development. </w:t>
      </w:r>
      <w:r>
        <w:t xml:space="preserve"> </w:t>
      </w:r>
      <w:r w:rsidRPr="009C2677">
        <w:t>These and other more detailed matters are dealt with by ‘subordin</w:t>
      </w:r>
      <w:r>
        <w:t xml:space="preserve">ate’ instruments under the Act, including </w:t>
      </w:r>
      <w:r w:rsidR="00A251C5">
        <w:t xml:space="preserve">State Planning Provisions and </w:t>
      </w:r>
      <w:hyperlink r:id="rId30" w:history="1">
        <w:r w:rsidRPr="009C2677">
          <w:t>planning schemes</w:t>
        </w:r>
      </w:hyperlink>
      <w:r w:rsidR="00A251C5">
        <w:t xml:space="preserve">. </w:t>
      </w:r>
    </w:p>
    <w:p w14:paraId="6EBEE3E7" w14:textId="54BC8EAC" w:rsidR="00E15477" w:rsidRPr="003779FC" w:rsidRDefault="003779FC" w:rsidP="00E15477">
      <w:pPr>
        <w:rPr>
          <w:i/>
          <w:color w:val="FF0000"/>
        </w:rPr>
      </w:pPr>
      <w:r>
        <w:t>The Act is place-based legislation and is well suited to managing tangible heritage places (buildings, built fabric and places).  It is less well suited to the management of intangible heritage values</w:t>
      </w:r>
      <w:r w:rsidR="00E15477" w:rsidRPr="003779FC">
        <w:t xml:space="preserve"> (historical and social)</w:t>
      </w:r>
      <w:r>
        <w:t xml:space="preserve">.  </w:t>
      </w:r>
      <w:r w:rsidRPr="003779FC">
        <w:t xml:space="preserve">The issue is articulated in </w:t>
      </w:r>
      <w:r w:rsidRPr="00880AC8">
        <w:t xml:space="preserve">the </w:t>
      </w:r>
      <w:r w:rsidR="00880AC8" w:rsidRPr="00880AC8">
        <w:t xml:space="preserve">Applying the </w:t>
      </w:r>
      <w:r w:rsidR="00E15477" w:rsidRPr="00880AC8">
        <w:t>Heritage Overlay, Planning Practice</w:t>
      </w:r>
      <w:r w:rsidR="00880AC8" w:rsidRPr="00880AC8">
        <w:t xml:space="preserve"> Note</w:t>
      </w:r>
      <w:r w:rsidR="00F268A2">
        <w:t xml:space="preserve"> 1 (PPN01)</w:t>
      </w:r>
      <w:r w:rsidR="00E15477" w:rsidRPr="00880AC8">
        <w:t>:</w:t>
      </w:r>
      <w:r w:rsidR="00E15477">
        <w:t xml:space="preserve"> </w:t>
      </w:r>
    </w:p>
    <w:p w14:paraId="56E45254" w14:textId="126CD4A2" w:rsidR="003779FC" w:rsidRPr="005D69E6" w:rsidRDefault="003779FC" w:rsidP="003779FC">
      <w:pPr>
        <w:pStyle w:val="Quotation"/>
      </w:pPr>
      <w:r>
        <w:t xml:space="preserve">Planning is about managing the environment and changes to it.  An appropriate test for a potential heritage place to pass in order to apply the Heritage Overlay is that </w:t>
      </w:r>
      <w:r w:rsidRPr="005D69E6">
        <w:t xml:space="preserve">it has ‘something’ to be managed.  This ‘something’ is usually tangible but it may, for example, be an absence of built form or the presence of some other special characteristic.  If such things are present, there will be something to manage and the Heritage Overlay may be applied. </w:t>
      </w:r>
    </w:p>
    <w:p w14:paraId="48DF13BD" w14:textId="5F48ADFC" w:rsidR="00E15477" w:rsidRPr="005D69E6" w:rsidRDefault="00E15477" w:rsidP="00E15477">
      <w:pPr>
        <w:pStyle w:val="Quotation"/>
      </w:pPr>
      <w:r w:rsidRPr="005D69E6">
        <w:t>If not, a commemorative plaque is an appropriate way of signifying the importance of the place to the local community</w:t>
      </w:r>
      <w:r w:rsidR="003779FC" w:rsidRPr="005D69E6">
        <w:t>.</w:t>
      </w:r>
      <w:r w:rsidR="003248C3" w:rsidRPr="005D69E6">
        <w:rPr>
          <w:rStyle w:val="FootnoteReference"/>
        </w:rPr>
        <w:footnoteReference w:id="31"/>
      </w:r>
    </w:p>
    <w:p w14:paraId="04BBBEE7" w14:textId="512263A8" w:rsidR="00D30274" w:rsidRPr="005D69E6" w:rsidRDefault="00D30274" w:rsidP="00D30274">
      <w:r>
        <w:t>In addition, t</w:t>
      </w:r>
      <w:r w:rsidRPr="00D30274">
        <w:t>he planning system has limited capacity to influence the management of buildings/places not previously assessed as places of significance, or to prevent a change of use where the existing use is no longer viable.  Managing access to heritage places is also outside the control of the system.</w:t>
      </w:r>
      <w:r w:rsidRPr="005D69E6">
        <w:t xml:space="preserve">  </w:t>
      </w:r>
    </w:p>
    <w:p w14:paraId="14AAA534" w14:textId="6B5BBBB5" w:rsidR="00D30274" w:rsidRPr="00D30274" w:rsidRDefault="00D30274" w:rsidP="00D30274">
      <w:pPr>
        <w:pStyle w:val="list1"/>
        <w:numPr>
          <w:ilvl w:val="0"/>
          <w:numId w:val="0"/>
        </w:numPr>
        <w:rPr>
          <w:lang w:val="en-AU"/>
        </w:rPr>
      </w:pPr>
      <w:r w:rsidRPr="00D30274">
        <w:rPr>
          <w:lang w:val="en-AU"/>
        </w:rPr>
        <w:lastRenderedPageBreak/>
        <w:t xml:space="preserve">The principal tool for the management of heritage in planning scheme is through the application of the Heritage Overlay, which requires new development to conserve and enhance heritage places and those elements which contribute to the significance of heritage places. </w:t>
      </w:r>
    </w:p>
    <w:p w14:paraId="310516B9" w14:textId="0ED5C618" w:rsidR="00E15477" w:rsidRPr="00D30274" w:rsidRDefault="00F268A2" w:rsidP="00E15477">
      <w:r w:rsidRPr="005D69E6">
        <w:t xml:space="preserve">It should be </w:t>
      </w:r>
      <w:r w:rsidR="00E15477" w:rsidRPr="005D69E6">
        <w:t>not</w:t>
      </w:r>
      <w:r w:rsidRPr="005D69E6">
        <w:t xml:space="preserve">ed </w:t>
      </w:r>
      <w:r w:rsidR="00E15477" w:rsidRPr="005D69E6">
        <w:t xml:space="preserve">that </w:t>
      </w:r>
      <w:r w:rsidRPr="005D69E6">
        <w:t xml:space="preserve">the </w:t>
      </w:r>
      <w:r w:rsidR="00E15477" w:rsidRPr="005D69E6">
        <w:t xml:space="preserve">planning system requires the Heritage Overlay to </w:t>
      </w:r>
      <w:r w:rsidR="00E15477" w:rsidRPr="005D69E6">
        <w:rPr>
          <w:rFonts w:cs="Arial"/>
        </w:rPr>
        <w:t xml:space="preserve">accord with the processes and guidelines outlined in the Australian ICOMOS </w:t>
      </w:r>
      <w:r w:rsidR="00E15477" w:rsidRPr="005D69E6">
        <w:rPr>
          <w:rFonts w:cs="Arial"/>
          <w:i/>
        </w:rPr>
        <w:t xml:space="preserve">Charter for Places of Cultural Heritage </w:t>
      </w:r>
      <w:r w:rsidR="00E15477" w:rsidRPr="005D69E6">
        <w:rPr>
          <w:rFonts w:cs="Arial"/>
        </w:rPr>
        <w:t xml:space="preserve">Significance (The Burra Charter) 2013, using the HERCON criteria as set out in PPN01.  </w:t>
      </w:r>
    </w:p>
    <w:p w14:paraId="248A25AD" w14:textId="49EC86C3" w:rsidR="00E15477" w:rsidRPr="00671BE8" w:rsidRDefault="00E15477" w:rsidP="00671BE8">
      <w:pPr>
        <w:pStyle w:val="Heading2"/>
      </w:pPr>
      <w:bookmarkStart w:id="52" w:name="_Ref522607978"/>
      <w:bookmarkStart w:id="53" w:name="_Toc522766150"/>
      <w:r w:rsidRPr="00671BE8">
        <w:t>Social</w:t>
      </w:r>
      <w:r w:rsidR="00671BE8">
        <w:t xml:space="preserve"> and economic impacts</w:t>
      </w:r>
      <w:bookmarkEnd w:id="52"/>
      <w:bookmarkEnd w:id="53"/>
      <w:r w:rsidR="00671BE8">
        <w:t xml:space="preserve"> </w:t>
      </w:r>
    </w:p>
    <w:p w14:paraId="62D415D1" w14:textId="211C7B17" w:rsidR="00E15477" w:rsidRPr="00671BE8" w:rsidRDefault="005F220A" w:rsidP="00E15477">
      <w:r w:rsidRPr="00671BE8">
        <w:t>Consideration of</w:t>
      </w:r>
      <w:r w:rsidR="00E15477" w:rsidRPr="00671BE8">
        <w:t xml:space="preserve"> social </w:t>
      </w:r>
      <w:r w:rsidRPr="00671BE8">
        <w:t xml:space="preserve">and economic </w:t>
      </w:r>
      <w:r w:rsidR="00E15477" w:rsidRPr="00671BE8">
        <w:t xml:space="preserve">impacts are a relevant consideration </w:t>
      </w:r>
      <w:r w:rsidRPr="00671BE8">
        <w:t xml:space="preserve">for Responsible Authorities </w:t>
      </w:r>
      <w:r w:rsidR="00E15477" w:rsidRPr="00671BE8">
        <w:t xml:space="preserve">under the </w:t>
      </w:r>
      <w:r w:rsidR="00E15477" w:rsidRPr="00671BE8">
        <w:rPr>
          <w:i/>
        </w:rPr>
        <w:t>Planning and Environment Act 1987</w:t>
      </w:r>
      <w:r w:rsidR="00E15477" w:rsidRPr="00671BE8">
        <w:t xml:space="preserve">. </w:t>
      </w:r>
      <w:r w:rsidRPr="00671BE8">
        <w:t xml:space="preserve"> Section 60 (1)(f) of the Act is as follows: </w:t>
      </w:r>
    </w:p>
    <w:p w14:paraId="7D55E710" w14:textId="78A7D1ED" w:rsidR="00E15477" w:rsidRPr="00671BE8" w:rsidRDefault="00E15477" w:rsidP="00E15477">
      <w:pPr>
        <w:pStyle w:val="Quotation"/>
      </w:pPr>
      <w:r w:rsidRPr="00671BE8">
        <w:t>Before deciding on an application, the responsible authority must consider any significant social effects and economic effects which the responsible authority considers the use or development may have</w:t>
      </w:r>
      <w:r w:rsidR="00A12098">
        <w:t>.</w:t>
      </w:r>
      <w:r w:rsidR="00A12098">
        <w:rPr>
          <w:rStyle w:val="FootnoteReference"/>
        </w:rPr>
        <w:footnoteReference w:id="32"/>
      </w:r>
    </w:p>
    <w:p w14:paraId="638E3F7B" w14:textId="5737DF0D" w:rsidR="00E15477" w:rsidRPr="005F220A" w:rsidRDefault="00E15477" w:rsidP="00F21258">
      <w:r w:rsidRPr="005F220A">
        <w:t>Social eff</w:t>
      </w:r>
      <w:r w:rsidR="005F220A" w:rsidRPr="005F220A">
        <w:t xml:space="preserve">ects are not defined in the </w:t>
      </w:r>
      <w:r w:rsidRPr="005F220A">
        <w:t>Act, but the</w:t>
      </w:r>
      <w:r w:rsidR="00A12098">
        <w:t xml:space="preserve">y are generally understood to </w:t>
      </w:r>
      <w:r w:rsidR="00A12098" w:rsidRPr="00F21258">
        <w:t>be</w:t>
      </w:r>
      <w:r w:rsidR="005F220A" w:rsidRPr="00F21258">
        <w:t xml:space="preserve"> </w:t>
      </w:r>
      <w:r w:rsidRPr="00F21258">
        <w:t xml:space="preserve">matters </w:t>
      </w:r>
      <w:r w:rsidR="00F21258" w:rsidRPr="00F21258">
        <w:t xml:space="preserve">related to social equity </w:t>
      </w:r>
      <w:r w:rsidR="005F220A" w:rsidRPr="00F21258">
        <w:t>inc</w:t>
      </w:r>
      <w:r w:rsidR="005F220A" w:rsidRPr="005F220A">
        <w:t xml:space="preserve">luding, for instance, </w:t>
      </w:r>
      <w:r w:rsidRPr="005F220A">
        <w:t>whether proposals</w:t>
      </w:r>
      <w:r w:rsidR="005F220A" w:rsidRPr="005F220A">
        <w:t xml:space="preserve"> have the potential to</w:t>
      </w:r>
      <w:r w:rsidRPr="005F220A">
        <w:t>:</w:t>
      </w:r>
    </w:p>
    <w:p w14:paraId="173825A0" w14:textId="0C5D656C" w:rsidR="00F06694" w:rsidRPr="005F220A" w:rsidRDefault="00F06694" w:rsidP="00F06694">
      <w:pPr>
        <w:pStyle w:val="list1"/>
        <w:numPr>
          <w:ilvl w:val="0"/>
          <w:numId w:val="6"/>
        </w:numPr>
      </w:pPr>
      <w:r>
        <w:t>A</w:t>
      </w:r>
      <w:r w:rsidRPr="005F220A">
        <w:t>chieve community safety and amenity</w:t>
      </w:r>
      <w:r>
        <w:t>;</w:t>
      </w:r>
      <w:r w:rsidRPr="005F220A">
        <w:rPr>
          <w:rStyle w:val="FootnoteReference"/>
        </w:rPr>
        <w:footnoteReference w:id="33"/>
      </w:r>
    </w:p>
    <w:p w14:paraId="651ADAC1" w14:textId="3ADF6767" w:rsidR="00F06694" w:rsidRPr="005F220A" w:rsidRDefault="00F06694" w:rsidP="00F06694">
      <w:pPr>
        <w:pStyle w:val="list1"/>
        <w:numPr>
          <w:ilvl w:val="0"/>
          <w:numId w:val="6"/>
        </w:numPr>
      </w:pPr>
      <w:r>
        <w:t>M</w:t>
      </w:r>
      <w:r w:rsidRPr="005F220A">
        <w:t xml:space="preserve">eet the needs of targeted groups, such as Indigenous communities, young people, </w:t>
      </w:r>
      <w:r w:rsidR="00F21258">
        <w:t>t</w:t>
      </w:r>
      <w:r w:rsidRPr="005F220A">
        <w:t xml:space="preserve">he unemployed, aged and </w:t>
      </w:r>
      <w:r>
        <w:t>disabled;</w:t>
      </w:r>
      <w:r w:rsidRPr="005F220A">
        <w:rPr>
          <w:rStyle w:val="FootnoteReference"/>
        </w:rPr>
        <w:footnoteReference w:id="34"/>
      </w:r>
    </w:p>
    <w:p w14:paraId="63263676" w14:textId="6832AE23" w:rsidR="00E15477" w:rsidRPr="005F220A" w:rsidRDefault="00F06694" w:rsidP="00387A20">
      <w:pPr>
        <w:pStyle w:val="list1"/>
        <w:numPr>
          <w:ilvl w:val="0"/>
          <w:numId w:val="6"/>
        </w:numPr>
      </w:pPr>
      <w:r>
        <w:t>G</w:t>
      </w:r>
      <w:r w:rsidR="00E15477" w:rsidRPr="005F220A">
        <w:t>enerate demand for community facilities;</w:t>
      </w:r>
    </w:p>
    <w:p w14:paraId="4C043278" w14:textId="2F7F2CFD" w:rsidR="00E15477" w:rsidRPr="005F220A" w:rsidRDefault="00F06694" w:rsidP="00387A20">
      <w:pPr>
        <w:pStyle w:val="list1"/>
        <w:numPr>
          <w:ilvl w:val="0"/>
          <w:numId w:val="6"/>
        </w:numPr>
      </w:pPr>
      <w:r>
        <w:t>P</w:t>
      </w:r>
      <w:r w:rsidR="00E15477" w:rsidRPr="005F220A">
        <w:t>rovide adequate facilities and services;</w:t>
      </w:r>
    </w:p>
    <w:p w14:paraId="58110B1F" w14:textId="052499FB" w:rsidR="00E15477" w:rsidRPr="005F220A" w:rsidRDefault="00F06694" w:rsidP="00387A20">
      <w:pPr>
        <w:pStyle w:val="list1"/>
        <w:numPr>
          <w:ilvl w:val="0"/>
          <w:numId w:val="6"/>
        </w:numPr>
      </w:pPr>
      <w:r>
        <w:t>I</w:t>
      </w:r>
      <w:r w:rsidR="00E15477" w:rsidRPr="005F220A">
        <w:t>mprove or reduce accessibility to social and community facilities;</w:t>
      </w:r>
    </w:p>
    <w:p w14:paraId="20E482D3" w14:textId="20D6C6B6" w:rsidR="00E15477" w:rsidRPr="005F220A" w:rsidRDefault="00F06694" w:rsidP="00387A20">
      <w:pPr>
        <w:pStyle w:val="list1"/>
        <w:numPr>
          <w:ilvl w:val="0"/>
          <w:numId w:val="6"/>
        </w:numPr>
      </w:pPr>
      <w:r>
        <w:t>P</w:t>
      </w:r>
      <w:r w:rsidR="00E15477" w:rsidRPr="005F220A">
        <w:t>rovide greater or lesser choice in housing, shopping, recreational and leisure services;</w:t>
      </w:r>
      <w:r>
        <w:t xml:space="preserve"> and </w:t>
      </w:r>
    </w:p>
    <w:p w14:paraId="797B94F7" w14:textId="2778005F" w:rsidR="00E15477" w:rsidRPr="005F220A" w:rsidRDefault="00E15477" w:rsidP="00387A20">
      <w:pPr>
        <w:pStyle w:val="list1"/>
        <w:numPr>
          <w:ilvl w:val="0"/>
          <w:numId w:val="6"/>
        </w:numPr>
      </w:pPr>
      <w:r w:rsidRPr="005F220A">
        <w:t>improve or reduce safety for people</w:t>
      </w:r>
      <w:r w:rsidR="00F06694">
        <w:t xml:space="preserve">. </w:t>
      </w:r>
    </w:p>
    <w:p w14:paraId="35AF0186" w14:textId="77777777" w:rsidR="009C331F" w:rsidRDefault="00E15477" w:rsidP="009C331F">
      <w:r w:rsidRPr="005F220A">
        <w:t>VCAT has found that fear of change is not a social impact that planning can address by refusing to progress proposals and that, ‘privileging prejudgment over objective assessment would have the significant broader social impact of undermining the fair, orderly and proper planning of areas’.</w:t>
      </w:r>
      <w:r w:rsidRPr="009C331F">
        <w:rPr>
          <w:rStyle w:val="FootnoteReference"/>
          <w:lang w:val="en-GB"/>
        </w:rPr>
        <w:footnoteReference w:id="35"/>
      </w:r>
    </w:p>
    <w:p w14:paraId="6A63CE26" w14:textId="77777777" w:rsidR="002957CA" w:rsidRDefault="009C331F" w:rsidP="00E15477">
      <w:r w:rsidRPr="002957CA">
        <w:t xml:space="preserve">The Tribunal’s findings on the proposed redevelopment of </w:t>
      </w:r>
      <w:r w:rsidR="0076330C" w:rsidRPr="002957CA">
        <w:t xml:space="preserve">the </w:t>
      </w:r>
      <w:r w:rsidRPr="002957CA">
        <w:t>Palace Theatre on Bourke Street</w:t>
      </w:r>
      <w:r w:rsidR="0076330C" w:rsidRPr="002957CA">
        <w:t xml:space="preserve">, </w:t>
      </w:r>
      <w:r w:rsidRPr="002957CA">
        <w:t xml:space="preserve">Melbourne </w:t>
      </w:r>
      <w:r w:rsidR="0076330C" w:rsidRPr="002957CA">
        <w:t xml:space="preserve">(in 2016) </w:t>
      </w:r>
      <w:r w:rsidRPr="002957CA">
        <w:t xml:space="preserve">are also relevant.  The Tribunal found that for many of the 1,000-plus submissions, the use of the place as a venue for live music performance was the reason for social value.  </w:t>
      </w:r>
      <w:r w:rsidR="0076330C" w:rsidRPr="002957CA">
        <w:t>In response, it noted that planning and heritage controls cannot compel the continuation of a use and noted</w:t>
      </w:r>
      <w:r w:rsidR="002957CA">
        <w:t>”</w:t>
      </w:r>
    </w:p>
    <w:p w14:paraId="4FAD5FA0" w14:textId="3B255528" w:rsidR="009C331F" w:rsidRPr="0076330C" w:rsidRDefault="009C331F" w:rsidP="002957CA">
      <w:pPr>
        <w:pStyle w:val="Quotation"/>
        <w:rPr>
          <w:rFonts w:ascii="Arial" w:hAnsi="Arial" w:cs="Arial"/>
        </w:rPr>
      </w:pPr>
      <w:r w:rsidRPr="002957CA">
        <w:t xml:space="preserve">At its core the objection to the demolition reflects a nostalgic, albeit understandable, desire to recreate memories and experiences of the past. </w:t>
      </w:r>
      <w:r w:rsidR="002957CA">
        <w:t xml:space="preserve"> </w:t>
      </w:r>
      <w:r w:rsidRPr="002957CA">
        <w:t>This is not the role of a planning regime, or indeed of any other regulatory regime</w:t>
      </w:r>
      <w:r w:rsidR="0076330C" w:rsidRPr="002957CA">
        <w:rPr>
          <w:rFonts w:ascii="Arial" w:hAnsi="Arial" w:cs="Arial"/>
          <w:i/>
        </w:rPr>
        <w:t>.</w:t>
      </w:r>
      <w:r w:rsidR="0076330C" w:rsidRPr="002957CA">
        <w:rPr>
          <w:rStyle w:val="FootnoteReference"/>
          <w:rFonts w:cs="Arial"/>
        </w:rPr>
        <w:footnoteReference w:id="36"/>
      </w:r>
    </w:p>
    <w:p w14:paraId="3E564255" w14:textId="0203CE6D" w:rsidR="00E15477" w:rsidRDefault="00E15477" w:rsidP="00E15477">
      <w:pPr>
        <w:pStyle w:val="Heading2"/>
      </w:pPr>
      <w:bookmarkStart w:id="54" w:name="_Toc522766151"/>
      <w:r>
        <w:lastRenderedPageBreak/>
        <w:t>Port Phillip Heritage Review</w:t>
      </w:r>
      <w:bookmarkEnd w:id="54"/>
      <w:r>
        <w:t xml:space="preserve"> </w:t>
      </w:r>
    </w:p>
    <w:p w14:paraId="7B087F77" w14:textId="372F8437" w:rsidR="008952E5" w:rsidRDefault="00E15477" w:rsidP="00671BE8">
      <w:r>
        <w:t xml:space="preserve">The </w:t>
      </w:r>
      <w:r w:rsidR="00671BE8">
        <w:t>PPHR</w:t>
      </w:r>
      <w:r w:rsidR="00F21258">
        <w:t xml:space="preserve">, </w:t>
      </w:r>
      <w:r w:rsidRPr="00C01837">
        <w:t>Volumes 1-6 (Version 25, May 2018)</w:t>
      </w:r>
      <w:r>
        <w:t xml:space="preserve"> is an </w:t>
      </w:r>
      <w:r w:rsidRPr="00C01837">
        <w:t>incorporated document in the Port Phillip Planning Scheme</w:t>
      </w:r>
      <w:r w:rsidR="00671BE8">
        <w:t xml:space="preserve">.  The PPHR builds on a large number of studies and assessments previously undertaken for the cities of Port Melbourne, South Melbourne and St Kilda.  It was adopted by Council on August 2000 as part of Planning Scheme amendment C5.  </w:t>
      </w:r>
    </w:p>
    <w:p w14:paraId="51337185" w14:textId="12279DB9" w:rsidR="00671BE8" w:rsidRDefault="00671BE8" w:rsidP="00E15477">
      <w:r>
        <w:t>T</w:t>
      </w:r>
      <w:r w:rsidRPr="00671BE8">
        <w:t>he Port Phillip Heritage Policy Map and the Port Phillip Neighbourhood Character Policy Map are attached to the PPHR and are also incorporated document in the Port Phillip Planning Scheme.</w:t>
      </w:r>
      <w:r w:rsidRPr="008952E5">
        <w:t xml:space="preserve">  The heritage policy map identifies all heritage overlays within the municipality</w:t>
      </w:r>
      <w:r w:rsidR="00B3574C">
        <w:t xml:space="preserve"> </w:t>
      </w:r>
      <w:r w:rsidRPr="008952E5">
        <w:t>and identifies whether pro</w:t>
      </w:r>
      <w:r w:rsidR="008952E5" w:rsidRPr="008952E5">
        <w:t>perties within an overlay are ‘</w:t>
      </w:r>
      <w:r w:rsidR="00AC7638">
        <w:t>S</w:t>
      </w:r>
      <w:r w:rsidRPr="008952E5">
        <w:t>ignificant</w:t>
      </w:r>
      <w:r w:rsidR="00AC7638">
        <w:t>’, ‘Contributory’ or ‘N</w:t>
      </w:r>
      <w:r w:rsidR="008952E5" w:rsidRPr="008952E5">
        <w:t xml:space="preserve">on-contributory’.  </w:t>
      </w:r>
      <w:r w:rsidRPr="008952E5">
        <w:t>The character policy map identifies contributory heritage places not covered by the heritage overlay.</w:t>
      </w:r>
      <w:r w:rsidR="00B3574C">
        <w:t xml:space="preserve">  </w:t>
      </w:r>
      <w:r>
        <w:t>Properties and places that are included in the PPHR are extensive</w:t>
      </w:r>
      <w:r w:rsidR="00B3574C">
        <w:t xml:space="preserve"> </w:t>
      </w:r>
      <w:r>
        <w:t xml:space="preserve">and </w:t>
      </w:r>
      <w:r w:rsidR="009A154C">
        <w:t xml:space="preserve">include over 400 individually listed heritage places and several precincts, some of them very large.  </w:t>
      </w:r>
    </w:p>
    <w:p w14:paraId="5E3BE241" w14:textId="393A22A6" w:rsidR="008952E5" w:rsidRPr="009A154C" w:rsidRDefault="009A154C" w:rsidP="009A154C">
      <w:r>
        <w:t xml:space="preserve">Council support to </w:t>
      </w:r>
      <w:r w:rsidRPr="009A154C">
        <w:t xml:space="preserve">owners of residential and commercial historic buildings </w:t>
      </w:r>
      <w:r w:rsidRPr="009A154C">
        <w:rPr>
          <w:bCs/>
        </w:rPr>
        <w:t xml:space="preserve">includes a </w:t>
      </w:r>
      <w:r w:rsidR="008952E5" w:rsidRPr="009A154C">
        <w:t>Heritage Advisory Service</w:t>
      </w:r>
      <w:r w:rsidR="00B3574C">
        <w:t xml:space="preserve"> (HAS)</w:t>
      </w:r>
      <w:r w:rsidR="00D023A7">
        <w:t xml:space="preserve">, which </w:t>
      </w:r>
      <w:r w:rsidRPr="009A154C">
        <w:t>provides advice on a range of procedural and practical</w:t>
      </w:r>
      <w:r w:rsidR="00D023A7">
        <w:t xml:space="preserve"> challenges </w:t>
      </w:r>
      <w:r w:rsidRPr="009A154C">
        <w:t>in</w:t>
      </w:r>
      <w:r w:rsidR="00D023A7">
        <w:t xml:space="preserve">cluding: </w:t>
      </w:r>
      <w:r w:rsidR="008952E5" w:rsidRPr="009A154C">
        <w:t>repairs and structural problem</w:t>
      </w:r>
      <w:r w:rsidR="00D023A7">
        <w:t xml:space="preserve">s; applying for permits; enhancing the environmental performance of historic buildings while minimising impacts on their valued presentation; and </w:t>
      </w:r>
      <w:r w:rsidR="008952E5" w:rsidRPr="009A154C">
        <w:t>sour</w:t>
      </w:r>
      <w:r w:rsidRPr="009A154C">
        <w:t>cing materials or trades-people</w:t>
      </w:r>
      <w:r w:rsidRPr="00B3574C">
        <w:t>.</w:t>
      </w:r>
      <w:r w:rsidR="00D023A7" w:rsidRPr="00B3574C">
        <w:t xml:space="preserve">  </w:t>
      </w:r>
      <w:r w:rsidR="00B3574C" w:rsidRPr="00B3574C">
        <w:t xml:space="preserve">Council also has </w:t>
      </w:r>
      <w:r w:rsidR="00AC7638" w:rsidRPr="00B3574C">
        <w:t xml:space="preserve">guidelines for constructing front fences (Victorian and Edwardian houses only) and </w:t>
      </w:r>
      <w:r w:rsidR="00B3574C" w:rsidRPr="00B3574C">
        <w:t xml:space="preserve">appropriate </w:t>
      </w:r>
      <w:r w:rsidR="00AC7638" w:rsidRPr="00B3574C">
        <w:t>paint colour schemes</w:t>
      </w:r>
      <w:r w:rsidR="00B3574C" w:rsidRPr="00B3574C">
        <w:t xml:space="preserve"> for historic buildings. </w:t>
      </w:r>
    </w:p>
    <w:p w14:paraId="6D38CA5D" w14:textId="24361034" w:rsidR="009A154C" w:rsidRPr="009A154C" w:rsidRDefault="009A154C" w:rsidP="009A154C">
      <w:r>
        <w:t xml:space="preserve">Council does not provide grants </w:t>
      </w:r>
      <w:r w:rsidRPr="009A154C">
        <w:t>fo</w:t>
      </w:r>
      <w:r>
        <w:t>r works to historic buildings</w:t>
      </w:r>
      <w:r w:rsidRPr="009A154C">
        <w:t>.</w:t>
      </w:r>
    </w:p>
    <w:p w14:paraId="2BE9188A" w14:textId="77777777" w:rsidR="00E15477" w:rsidRDefault="00E15477" w:rsidP="00E15477">
      <w:pPr>
        <w:pStyle w:val="Heading2"/>
      </w:pPr>
      <w:bookmarkStart w:id="55" w:name="_Toc522766152"/>
      <w:r w:rsidRPr="00801F09">
        <w:t>Related processes</w:t>
      </w:r>
      <w:r>
        <w:t xml:space="preserve"> – Council activities</w:t>
      </w:r>
      <w:bookmarkEnd w:id="55"/>
    </w:p>
    <w:p w14:paraId="285F2DEA" w14:textId="2A922BD6" w:rsidR="00E15477" w:rsidRPr="00E965EA" w:rsidRDefault="00AF1D44" w:rsidP="00E15477">
      <w:r>
        <w:t>On-going Council i</w:t>
      </w:r>
      <w:r w:rsidR="00E15477">
        <w:t xml:space="preserve">nitiatives of relevance to the current project are discussed below. </w:t>
      </w:r>
    </w:p>
    <w:p w14:paraId="6671444B" w14:textId="77777777" w:rsidR="00E15477" w:rsidRPr="002E4420" w:rsidRDefault="00E15477" w:rsidP="00E15477">
      <w:pPr>
        <w:pStyle w:val="Heading3"/>
        <w:tabs>
          <w:tab w:val="clear" w:pos="2128"/>
        </w:tabs>
        <w:ind w:left="851"/>
      </w:pPr>
      <w:bookmarkStart w:id="56" w:name="_Toc522766153"/>
      <w:r>
        <w:t>City of Port Phillip Heritage Recognition Program</w:t>
      </w:r>
      <w:bookmarkEnd w:id="56"/>
      <w:r>
        <w:t xml:space="preserve"> </w:t>
      </w:r>
    </w:p>
    <w:p w14:paraId="7A1AA4A3" w14:textId="1AD52550" w:rsidR="00D53B0D" w:rsidRDefault="00E15477" w:rsidP="00E15477">
      <w:r>
        <w:t xml:space="preserve">The CoPP </w:t>
      </w:r>
      <w:r w:rsidR="00393137">
        <w:t xml:space="preserve">operates </w:t>
      </w:r>
      <w:r>
        <w:t xml:space="preserve">a Heritage Recognition Program </w:t>
      </w:r>
      <w:r w:rsidR="00393137">
        <w:t>under</w:t>
      </w:r>
      <w:r>
        <w:t xml:space="preserve"> which sites of historical significance are identified and recognised through the installation of a plaque</w:t>
      </w:r>
      <w:r w:rsidR="00D53B0D">
        <w:t xml:space="preserve"> (</w:t>
      </w:r>
      <w:r w:rsidR="001A6383">
        <w:fldChar w:fldCharType="begin"/>
      </w:r>
      <w:r w:rsidR="001A6383">
        <w:instrText xml:space="preserve"> REF _Ref522650455 \h </w:instrText>
      </w:r>
      <w:r w:rsidR="001A6383">
        <w:fldChar w:fldCharType="separate"/>
      </w:r>
      <w:r w:rsidR="003E105F">
        <w:t xml:space="preserve">Figure </w:t>
      </w:r>
      <w:r w:rsidR="003E105F">
        <w:rPr>
          <w:noProof/>
        </w:rPr>
        <w:t>7</w:t>
      </w:r>
      <w:r w:rsidR="001A6383">
        <w:fldChar w:fldCharType="end"/>
      </w:r>
      <w:r w:rsidR="00D53B0D">
        <w:t xml:space="preserve">).  </w:t>
      </w:r>
      <w:r w:rsidR="00393137">
        <w:t xml:space="preserve">Information included on the plaque relates to </w:t>
      </w:r>
      <w:r>
        <w:t>the history of the site</w:t>
      </w:r>
      <w:r w:rsidR="00D53B0D">
        <w:t xml:space="preserve"> and </w:t>
      </w:r>
      <w:r w:rsidR="00393137">
        <w:t xml:space="preserve">is </w:t>
      </w:r>
      <w:r w:rsidR="00D53B0D">
        <w:t xml:space="preserve">connected to </w:t>
      </w:r>
      <w:r w:rsidR="00393137">
        <w:t xml:space="preserve">a series of municipality-wide </w:t>
      </w:r>
      <w:r w:rsidR="00D53B0D">
        <w:t>t</w:t>
      </w:r>
      <w:r>
        <w:t>hemes</w:t>
      </w:r>
      <w:r w:rsidR="00393137">
        <w:t xml:space="preserve">, </w:t>
      </w:r>
      <w:r>
        <w:t>including arts and entertainment, transport, noteworthy residents, industry</w:t>
      </w:r>
      <w:r w:rsidR="00393137">
        <w:t xml:space="preserve"> </w:t>
      </w:r>
      <w:r>
        <w:t xml:space="preserve">and </w:t>
      </w:r>
      <w:r w:rsidR="00AF1D44">
        <w:t>architecture</w:t>
      </w:r>
      <w:r>
        <w:t>.</w:t>
      </w:r>
      <w:r>
        <w:rPr>
          <w:rStyle w:val="FootnoteReference"/>
        </w:rPr>
        <w:footnoteReference w:id="37"/>
      </w:r>
    </w:p>
    <w:p w14:paraId="2255ECBB" w14:textId="3A7DEEB2" w:rsidR="00E15477" w:rsidRDefault="00E15477" w:rsidP="00E15477">
      <w:r>
        <w:t>Nominations are assessed by Council’s Cultural Heritage Reference Committee, which comprises a councillor and representatives of the Port Melbourne and St Kilda Historical Societies</w:t>
      </w:r>
      <w:r w:rsidR="00D53B0D">
        <w:t xml:space="preserve">, </w:t>
      </w:r>
      <w:r>
        <w:t>the Middle Park History Group</w:t>
      </w:r>
      <w:r w:rsidR="00D53B0D">
        <w:t xml:space="preserve"> </w:t>
      </w:r>
      <w:r>
        <w:t xml:space="preserve">and local residents.  The Heritage Recognition Program Guidelines provide criteria against which nominations are assessed.  </w:t>
      </w:r>
      <w:r w:rsidR="00574DBC">
        <w:t>At the time of writing there we</w:t>
      </w:r>
      <w:r w:rsidRPr="00E965EA">
        <w:t xml:space="preserve">re 53 sites included in the program.  </w:t>
      </w:r>
    </w:p>
    <w:p w14:paraId="7AFB3337" w14:textId="77777777" w:rsidR="00B3574C" w:rsidRDefault="00B3574C" w:rsidP="00B3574C">
      <w:pPr>
        <w:pStyle w:val="Heading3"/>
        <w:tabs>
          <w:tab w:val="clear" w:pos="2128"/>
        </w:tabs>
        <w:ind w:left="851"/>
      </w:pPr>
      <w:bookmarkStart w:id="57" w:name="_Toc522766154"/>
      <w:r>
        <w:t>City of Port Phillip percent for art scheme</w:t>
      </w:r>
      <w:bookmarkEnd w:id="57"/>
    </w:p>
    <w:p w14:paraId="11E8AE1C" w14:textId="2C540374" w:rsidR="00B3574C" w:rsidRDefault="00B3574C" w:rsidP="00B3574C">
      <w:pPr>
        <w:rPr>
          <w:rFonts w:ascii="Calibri" w:hAnsi="Calibri"/>
        </w:rPr>
      </w:pPr>
      <w:r>
        <w:t xml:space="preserve">The CoPP’s percentage for art scheme arose out of the </w:t>
      </w:r>
      <w:r>
        <w:rPr>
          <w:i/>
        </w:rPr>
        <w:t>Urban Art Strategy</w:t>
      </w:r>
      <w:r>
        <w:t xml:space="preserve"> (2002), which included a number of </w:t>
      </w:r>
      <w:r w:rsidR="00393137">
        <w:t>recommendations for</w:t>
      </w:r>
      <w:r>
        <w:t xml:space="preserve"> t</w:t>
      </w:r>
      <w:r w:rsidR="00393137">
        <w:t xml:space="preserve">he </w:t>
      </w:r>
      <w:r>
        <w:t>deliver</w:t>
      </w:r>
      <w:r w:rsidR="00393137">
        <w:t>y of</w:t>
      </w:r>
      <w:r>
        <w:t xml:space="preserve"> community-led urban art.  The strategy has been superseded by the draft </w:t>
      </w:r>
      <w:r>
        <w:rPr>
          <w:i/>
        </w:rPr>
        <w:t>Public Art Strategy</w:t>
      </w:r>
      <w:r>
        <w:t xml:space="preserve"> (2015</w:t>
      </w:r>
      <w:r w:rsidR="00393137">
        <w:t xml:space="preserve">), and </w:t>
      </w:r>
      <w:r>
        <w:t xml:space="preserve">percentage for art scheme </w:t>
      </w:r>
      <w:r w:rsidR="00393137">
        <w:t>survives</w:t>
      </w:r>
      <w:r>
        <w:t xml:space="preserve"> in cases of commercial development.  The scheme requires private developers to contribute to public art to the value of five percent of the total budget where the total project cost exceeds $2 million.  </w:t>
      </w:r>
    </w:p>
    <w:p w14:paraId="4E2695A1" w14:textId="5B75E4D2" w:rsidR="00B3574C" w:rsidRDefault="00B3574C" w:rsidP="00B3574C">
      <w:r>
        <w:t xml:space="preserve">The </w:t>
      </w:r>
      <w:r>
        <w:rPr>
          <w:i/>
        </w:rPr>
        <w:t>Public Art Guidelines</w:t>
      </w:r>
      <w:r>
        <w:t xml:space="preserve"> (2017) functions as Council’s current Public Art Strategy and include</w:t>
      </w:r>
      <w:r w:rsidR="00500771">
        <w:t xml:space="preserve">s </w:t>
      </w:r>
      <w:r>
        <w:t xml:space="preserve">a secondary option for developer contribution through a direct funding model.  One of the objectives </w:t>
      </w:r>
      <w:r w:rsidR="00500771">
        <w:t xml:space="preserve">of </w:t>
      </w:r>
      <w:r>
        <w:t>th</w:t>
      </w:r>
      <w:r w:rsidR="00500771">
        <w:t>is</w:t>
      </w:r>
      <w:r>
        <w:t xml:space="preserve"> model is to include more extensive community engagement in developing artworks, an objective that was inherent in some of defunct schemes identified in the original </w:t>
      </w:r>
      <w:r>
        <w:rPr>
          <w:i/>
        </w:rPr>
        <w:t>Urban Art Strategy</w:t>
      </w:r>
      <w:r>
        <w:t xml:space="preserve"> (2002).  The Public Art Strategy is referenced in the </w:t>
      </w:r>
      <w:r>
        <w:rPr>
          <w:i/>
        </w:rPr>
        <w:t>Creative and Prosperous City Strategy 2018-2022</w:t>
      </w:r>
      <w:r>
        <w:t xml:space="preserve">.  </w:t>
      </w:r>
    </w:p>
    <w:p w14:paraId="16D6F6A6" w14:textId="4F7D6E9C" w:rsidR="003F591E" w:rsidRPr="00500771" w:rsidRDefault="00E83A9B" w:rsidP="00500771">
      <w:pPr>
        <w:pStyle w:val="Figure"/>
      </w:pPr>
      <w:r>
        <w:rPr>
          <w:noProof/>
          <w:lang w:eastAsia="en-AU"/>
        </w:rPr>
        <w:lastRenderedPageBreak/>
        <w:drawing>
          <wp:inline distT="0" distB="0" distL="0" distR="0" wp14:anchorId="1A09243A" wp14:editId="0CC6E4B4">
            <wp:extent cx="4572000" cy="4500000"/>
            <wp:effectExtent l="0" t="0" r="0" b="0"/>
            <wp:docPr id="4" name="Picture 4" descr="Source: http://highriser.blogspot.com, 24 December 2012, accessed 10 July 2018&#10;" title="Heritage Recognition Program plaque at 55 Blessington Street, former home of Albert Tucker"/>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31"/>
                    <a:srcRect l="23012" t="12157" r="27679" b="23220"/>
                    <a:stretch/>
                  </pic:blipFill>
                  <pic:spPr bwMode="auto">
                    <a:xfrm>
                      <a:off x="0" y="0"/>
                      <a:ext cx="4572000" cy="4500000"/>
                    </a:xfrm>
                    <a:prstGeom prst="rect">
                      <a:avLst/>
                    </a:prstGeom>
                    <a:noFill/>
                    <a:ln>
                      <a:noFill/>
                    </a:ln>
                    <a:extLst>
                      <a:ext uri="{53640926-AAD7-44D8-BBD7-CCE9431645EC}">
                        <a14:shadowObscured xmlns:a14="http://schemas.microsoft.com/office/drawing/2010/main"/>
                      </a:ext>
                    </a:extLst>
                  </pic:spPr>
                </pic:pic>
              </a:graphicData>
            </a:graphic>
          </wp:inline>
        </w:drawing>
      </w:r>
    </w:p>
    <w:p w14:paraId="5C222611" w14:textId="25F92ED9" w:rsidR="003F591E" w:rsidRDefault="003F591E" w:rsidP="003F591E">
      <w:pPr>
        <w:pStyle w:val="Caption"/>
      </w:pPr>
      <w:bookmarkStart w:id="58" w:name="_Ref522650455"/>
      <w:r>
        <w:t xml:space="preserve">Figure </w:t>
      </w:r>
      <w:r w:rsidR="00AA64B1">
        <w:rPr>
          <w:noProof/>
        </w:rPr>
        <w:fldChar w:fldCharType="begin"/>
      </w:r>
      <w:r w:rsidR="00AA64B1">
        <w:rPr>
          <w:noProof/>
        </w:rPr>
        <w:instrText xml:space="preserve"> SEQ Figure \* ARABIC </w:instrText>
      </w:r>
      <w:r w:rsidR="00AA64B1">
        <w:rPr>
          <w:noProof/>
        </w:rPr>
        <w:fldChar w:fldCharType="separate"/>
      </w:r>
      <w:r w:rsidR="003E105F">
        <w:rPr>
          <w:noProof/>
        </w:rPr>
        <w:t>7</w:t>
      </w:r>
      <w:r w:rsidR="00AA64B1">
        <w:rPr>
          <w:noProof/>
        </w:rPr>
        <w:fldChar w:fldCharType="end"/>
      </w:r>
      <w:bookmarkEnd w:id="58"/>
      <w:r>
        <w:tab/>
        <w:t>Heritage Recognition Program plaque at 55 Blessington Street, former home of Albert Tucker</w:t>
      </w:r>
    </w:p>
    <w:p w14:paraId="6410B620" w14:textId="15A3F9BF" w:rsidR="003F591E" w:rsidRDefault="003F591E" w:rsidP="003F591E">
      <w:pPr>
        <w:pStyle w:val="Figuresource"/>
      </w:pPr>
      <w:r>
        <w:t xml:space="preserve">Source: </w:t>
      </w:r>
      <w:hyperlink r:id="rId32" w:history="1">
        <w:r w:rsidR="00D53B0D" w:rsidRPr="00A35017">
          <w:rPr>
            <w:rStyle w:val="Hyperlink"/>
            <w:sz w:val="20"/>
          </w:rPr>
          <w:t>http://highriser.blogspot.com</w:t>
        </w:r>
      </w:hyperlink>
      <w:r>
        <w:t>, 24 December 2012, accessed 10 July 2018</w:t>
      </w:r>
    </w:p>
    <w:p w14:paraId="5900D880" w14:textId="77777777" w:rsidR="003F591E" w:rsidRDefault="003F591E" w:rsidP="00B3574C"/>
    <w:p w14:paraId="6F8FEFDA" w14:textId="600F8322" w:rsidR="00E15477" w:rsidRDefault="00E15477" w:rsidP="00B3574C">
      <w:pPr>
        <w:pStyle w:val="Heading3"/>
        <w:tabs>
          <w:tab w:val="clear" w:pos="2128"/>
        </w:tabs>
        <w:ind w:left="851"/>
      </w:pPr>
      <w:bookmarkStart w:id="59" w:name="_Toc522766155"/>
      <w:r>
        <w:t>Community grants</w:t>
      </w:r>
      <w:bookmarkEnd w:id="59"/>
      <w:r>
        <w:t xml:space="preserve"> </w:t>
      </w:r>
    </w:p>
    <w:p w14:paraId="7FF172C8" w14:textId="2ACA687D" w:rsidR="00E15477" w:rsidRDefault="00E15477" w:rsidP="00E15477">
      <w:r>
        <w:t>The CoPP’s Community Grants programs supports community engagement across a range of areas</w:t>
      </w:r>
      <w:r w:rsidR="00E83A9B">
        <w:t xml:space="preserve"> and activities</w:t>
      </w:r>
      <w:r>
        <w:t xml:space="preserve">.  Grants of between $1,000 and $10,000 are available </w:t>
      </w:r>
      <w:r w:rsidR="00E83A9B">
        <w:t>in f</w:t>
      </w:r>
      <w:r>
        <w:t>our categories</w:t>
      </w:r>
      <w:r w:rsidR="00E83A9B">
        <w:t xml:space="preserve">: </w:t>
      </w:r>
      <w:r>
        <w:t>Program Support, Diversity and Ageing Support, an Equipment Fund, Community Strengthening and Social Inclusion Partnerships.  The assessment of the grants is undertaken by a panel</w:t>
      </w:r>
      <w:r w:rsidR="00E83A9B">
        <w:t xml:space="preserve"> </w:t>
      </w:r>
      <w:r>
        <w:t xml:space="preserve">which includes community members, as well as council representatives.  These grants are aimed at community groups, organisations and clubs that are incorporated or supported by </w:t>
      </w:r>
      <w:r w:rsidR="00E83A9B">
        <w:t xml:space="preserve">an </w:t>
      </w:r>
      <w:r>
        <w:t>incorporated association.</w:t>
      </w:r>
    </w:p>
    <w:p w14:paraId="6CCD54C5" w14:textId="16A906AA" w:rsidR="00E15477" w:rsidRDefault="00E15477" w:rsidP="00E15477">
      <w:r>
        <w:t>The Small Poppies Neighbourhood Grants scheme is aimed at supporting small community-led projects to improve neighbourhoods</w:t>
      </w:r>
      <w:r w:rsidR="00E83A9B">
        <w:t xml:space="preserve">; a neighbourhood is defined as ‘the area that surrounds someone’s home’.  Neighbourhood Grants </w:t>
      </w:r>
      <w:r>
        <w:t xml:space="preserve">differ from the community grants </w:t>
      </w:r>
      <w:r w:rsidR="00E83A9B">
        <w:t>in that they are</w:t>
      </w:r>
      <w:r>
        <w:t xml:space="preserve"> aimed at small communit</w:t>
      </w:r>
      <w:r w:rsidR="00E83A9B">
        <w:t>y groups</w:t>
      </w:r>
      <w:r>
        <w:t xml:space="preserve">. </w:t>
      </w:r>
      <w:r w:rsidR="00E83A9B">
        <w:t xml:space="preserve"> </w:t>
      </w:r>
      <w:r>
        <w:t xml:space="preserve">These grants support projects such as neighbourhood gardens, beautification of nature strips and informal clubs.  </w:t>
      </w:r>
      <w:r w:rsidR="00E83A9B">
        <w:t xml:space="preserve">Grants </w:t>
      </w:r>
      <w:r>
        <w:t>range</w:t>
      </w:r>
      <w:r w:rsidR="00E83A9B">
        <w:t xml:space="preserve"> between</w:t>
      </w:r>
      <w:r>
        <w:t xml:space="preserve"> $500 and $5,000. </w:t>
      </w:r>
    </w:p>
    <w:p w14:paraId="1D356154" w14:textId="6D7154B6" w:rsidR="00EB0BBA" w:rsidRDefault="00E15477" w:rsidP="006E23F5">
      <w:r>
        <w:t xml:space="preserve">There are also a number of arts-based funding schemes including the Cultural Development Fund and the Local Festivals Fund, which seek to support community managed projects.  Like the other community grants, the assessment panels include community members and council staff to ensure the projects align community interests with existing programs and initiatives. </w:t>
      </w:r>
    </w:p>
    <w:p w14:paraId="050CB6E2" w14:textId="77777777" w:rsidR="0022276B" w:rsidRDefault="00201892" w:rsidP="0022276B">
      <w:pPr>
        <w:pStyle w:val="Heading1"/>
      </w:pPr>
      <w:bookmarkStart w:id="60" w:name="_Ref518986807"/>
      <w:bookmarkStart w:id="61" w:name="_Toc522766156"/>
      <w:r>
        <w:lastRenderedPageBreak/>
        <w:t>S</w:t>
      </w:r>
      <w:r w:rsidR="0022276B">
        <w:t>ocial value</w:t>
      </w:r>
      <w:bookmarkEnd w:id="60"/>
      <w:bookmarkEnd w:id="61"/>
      <w:r>
        <w:t xml:space="preserve"> </w:t>
      </w:r>
    </w:p>
    <w:p w14:paraId="095F61C2" w14:textId="77777777" w:rsidR="00F215A5" w:rsidRDefault="00F215A5" w:rsidP="00F215A5">
      <w:r>
        <w:t>Social value as understood in contemporary heritage practice is t</w:t>
      </w:r>
      <w:r>
        <w:rPr>
          <w:lang w:val="en-US"/>
        </w:rPr>
        <w:t>he premise that places and objects are invested with meaning through communal interaction.  There are no limits to the types of places that can be identified as being valued communally.  Examples include: p</w:t>
      </w:r>
      <w:r>
        <w:t>laces where people gather for reasons of ritual or public meeting/congregation (including public parks, gardens, churches and halls)</w:t>
      </w:r>
      <w:r>
        <w:rPr>
          <w:lang w:val="en-US"/>
        </w:rPr>
        <w:t>, p</w:t>
      </w:r>
      <w:r>
        <w:t xml:space="preserve">laces that provide a memorial function to the present community (such as shrines, avenues of honour and massacre sites) and </w:t>
      </w:r>
      <w:r>
        <w:rPr>
          <w:lang w:val="en-US"/>
        </w:rPr>
        <w:t>p</w:t>
      </w:r>
      <w:r>
        <w:t>laces of public entertainment (including performance auditoria and sports venues).</w:t>
      </w:r>
    </w:p>
    <w:p w14:paraId="1008F127" w14:textId="2EF26405" w:rsidR="00486DC0" w:rsidRDefault="00206056" w:rsidP="00F215A5">
      <w:r>
        <w:t xml:space="preserve">Social </w:t>
      </w:r>
      <w:r w:rsidR="00F215A5">
        <w:t>value is defined as follows:</w:t>
      </w:r>
    </w:p>
    <w:p w14:paraId="52DCB3A6" w14:textId="77777777" w:rsidR="00F215A5" w:rsidRDefault="00F215A5" w:rsidP="00F215A5">
      <w:pPr>
        <w:pStyle w:val="Quotation"/>
      </w:pPr>
      <w:r>
        <w:t>Social value is a collective attachment to place that embodies meanings and values that are important to a community or communities.  This includes the significance of a place to Indigenous people as part of their continuing and developing cultural traditions.  The reasons for communal attachment may be spiritual, religious, cultural, political or derived from common experience.</w:t>
      </w:r>
      <w:r>
        <w:rPr>
          <w:rStyle w:val="FootnoteReference"/>
        </w:rPr>
        <w:footnoteReference w:id="38"/>
      </w:r>
    </w:p>
    <w:p w14:paraId="77E4B920" w14:textId="089199B4" w:rsidR="0032424A" w:rsidRDefault="0032424A" w:rsidP="0032424A">
      <w:pPr>
        <w:pStyle w:val="Heading2"/>
      </w:pPr>
      <w:bookmarkStart w:id="62" w:name="_Toc522766157"/>
      <w:r>
        <w:t>A revised approach</w:t>
      </w:r>
      <w:r w:rsidR="00A6084A">
        <w:t xml:space="preserve"> to</w:t>
      </w:r>
      <w:r>
        <w:t xml:space="preserve"> assess</w:t>
      </w:r>
      <w:r w:rsidR="00A6084A">
        <w:t xml:space="preserve">ing </w:t>
      </w:r>
      <w:r>
        <w:t>and manag</w:t>
      </w:r>
      <w:r w:rsidR="00A6084A">
        <w:t>ing social value</w:t>
      </w:r>
      <w:bookmarkEnd w:id="62"/>
      <w:r w:rsidR="00A6084A">
        <w:t xml:space="preserve"> </w:t>
      </w:r>
    </w:p>
    <w:p w14:paraId="03D50667" w14:textId="77777777" w:rsidR="00FF01F3" w:rsidRDefault="00201892" w:rsidP="00FF01F3">
      <w:r>
        <w:t>Concepts of communal attachment to places derived from experience and practice have achieved widespread levels of recognition</w:t>
      </w:r>
      <w:r w:rsidR="007E404E">
        <w:t xml:space="preserve"> in heritage practice over the past 20 years</w:t>
      </w:r>
      <w:r>
        <w:t xml:space="preserve">.  Over a similar period, challenges associated with the assessment and management of social value through existing statutory </w:t>
      </w:r>
      <w:r w:rsidRPr="00FF01F3">
        <w:t xml:space="preserve">regimes have become increasingly evident. </w:t>
      </w:r>
    </w:p>
    <w:p w14:paraId="0823281E" w14:textId="44D50181" w:rsidR="00FF01F3" w:rsidRPr="00FF01F3" w:rsidRDefault="00201892" w:rsidP="00201892">
      <w:r w:rsidRPr="00FF01F3">
        <w:rPr>
          <w:bCs/>
          <w:iCs/>
        </w:rPr>
        <w:t>A review of approaches to th</w:t>
      </w:r>
      <w:r w:rsidR="00F215A5" w:rsidRPr="00FF01F3">
        <w:rPr>
          <w:bCs/>
          <w:iCs/>
        </w:rPr>
        <w:t xml:space="preserve">e identification, assessment and management of social value </w:t>
      </w:r>
      <w:r w:rsidRPr="00FF01F3">
        <w:rPr>
          <w:bCs/>
          <w:iCs/>
        </w:rPr>
        <w:t xml:space="preserve">was the subject of a report prepared for the Heritage Council of Victoria </w:t>
      </w:r>
      <w:r w:rsidR="00692F1B" w:rsidRPr="00FF01F3">
        <w:rPr>
          <w:bCs/>
          <w:iCs/>
        </w:rPr>
        <w:t xml:space="preserve">(HCV) </w:t>
      </w:r>
      <w:r w:rsidRPr="00FF01F3">
        <w:rPr>
          <w:bCs/>
          <w:iCs/>
        </w:rPr>
        <w:t>in May 2018.  The rep</w:t>
      </w:r>
      <w:r w:rsidR="00486DC0">
        <w:rPr>
          <w:bCs/>
          <w:iCs/>
        </w:rPr>
        <w:t xml:space="preserve">ort (which is not public) includes </w:t>
      </w:r>
      <w:r w:rsidRPr="00FF01F3">
        <w:rPr>
          <w:bCs/>
          <w:iCs/>
        </w:rPr>
        <w:t xml:space="preserve">recommendations for the preparation of guidelines to support heritage practitioners, community groups and statutory authorities to identify and assess places of social value to a community group, or groups, through the </w:t>
      </w:r>
      <w:r w:rsidR="00206056" w:rsidRPr="00FF01F3">
        <w:rPr>
          <w:bCs/>
          <w:iCs/>
        </w:rPr>
        <w:t xml:space="preserve">collection </w:t>
      </w:r>
      <w:r w:rsidR="00486DC0">
        <w:rPr>
          <w:bCs/>
          <w:iCs/>
        </w:rPr>
        <w:t>of evidence</w:t>
      </w:r>
      <w:r w:rsidRPr="00FF01F3">
        <w:rPr>
          <w:bCs/>
          <w:iCs/>
        </w:rPr>
        <w:t xml:space="preserve">.  </w:t>
      </w:r>
    </w:p>
    <w:p w14:paraId="173541B4" w14:textId="6E581D7D" w:rsidR="00201892" w:rsidRDefault="00A6084A" w:rsidP="00201892">
      <w:pPr>
        <w:rPr>
          <w:lang w:val="en-US"/>
        </w:rPr>
      </w:pPr>
      <w:r>
        <w:rPr>
          <w:lang w:val="en-US"/>
        </w:rPr>
        <w:t>T</w:t>
      </w:r>
      <w:r w:rsidR="00206056">
        <w:rPr>
          <w:lang w:val="en-US"/>
        </w:rPr>
        <w:t xml:space="preserve">he </w:t>
      </w:r>
      <w:r w:rsidR="00201892">
        <w:rPr>
          <w:lang w:val="en-US"/>
        </w:rPr>
        <w:t xml:space="preserve">guidelines </w:t>
      </w:r>
      <w:r>
        <w:rPr>
          <w:lang w:val="en-US"/>
        </w:rPr>
        <w:t xml:space="preserve">may </w:t>
      </w:r>
      <w:r w:rsidR="00486DC0">
        <w:rPr>
          <w:lang w:val="en-US"/>
        </w:rPr>
        <w:t>include direction on the following:</w:t>
      </w:r>
    </w:p>
    <w:p w14:paraId="49203D0E" w14:textId="0B36CA69" w:rsidR="00117B88" w:rsidRPr="008B659C" w:rsidRDefault="00201892" w:rsidP="008B659C">
      <w:r w:rsidRPr="008B659C">
        <w:rPr>
          <w:i/>
        </w:rPr>
        <w:t>How to confirm/establish the existence of a community</w:t>
      </w:r>
      <w:r w:rsidR="00044ECD" w:rsidRPr="008B659C">
        <w:rPr>
          <w:i/>
        </w:rPr>
        <w:t>.</w:t>
      </w:r>
      <w:r w:rsidR="00044ECD" w:rsidRPr="008B659C">
        <w:t xml:space="preserve">  This recognises that the nature of communities varies considerably, in terms of scale, sense of identity/cohesion and </w:t>
      </w:r>
      <w:r w:rsidR="00486DC0" w:rsidRPr="008B659C">
        <w:t xml:space="preserve">the intensity of attachment to </w:t>
      </w:r>
      <w:r w:rsidR="00044ECD" w:rsidRPr="008B659C">
        <w:t xml:space="preserve">place.  Some communities are formal with registered members or may be comprised of adherents to a particular creed or manifesto.  In these circumstances, there is a degree of formality to the community, and an ability to identify the group may be uncontroversial.  Other communities may be large and loosely defined – the ‘Port Phillip community’ for instance.  These communities are more informal but similarly significant.  Identifying the members of such communities and their extent can be more complex and may be based on a self-identified sense of belonging.  </w:t>
      </w:r>
      <w:r w:rsidR="00044ECD">
        <w:t>Both formal and informal types of communities may come together online and offline and their activities may operate across both realms.  Online presences may take the form of webpages, groups (</w:t>
      </w:r>
      <w:r w:rsidR="00486DC0">
        <w:t xml:space="preserve">i.e. Facebook, Flickr and </w:t>
      </w:r>
      <w:r w:rsidR="00044ECD">
        <w:t>Google), list servers, newsletters as well as other types of online communication.  Communities may meet formally or simply participate in a joint activity where there is a sense of connection imbued through an event</w:t>
      </w:r>
      <w:r w:rsidR="00117B88">
        <w:t xml:space="preserve">; </w:t>
      </w:r>
    </w:p>
    <w:p w14:paraId="7C19CE36" w14:textId="12CE4FA6" w:rsidR="00117B88" w:rsidRPr="008B659C" w:rsidRDefault="00201892" w:rsidP="008B659C">
      <w:r w:rsidRPr="008B659C">
        <w:rPr>
          <w:i/>
        </w:rPr>
        <w:t>Approaches to research and analysis</w:t>
      </w:r>
      <w:r w:rsidRPr="008B659C">
        <w:t>, including the use of online content as evidence of social value</w:t>
      </w:r>
      <w:r w:rsidR="00117B88" w:rsidRPr="008B659C">
        <w:t xml:space="preserve">.  </w:t>
      </w:r>
      <w:r w:rsidR="00117B88" w:rsidRPr="00117B88">
        <w:t>In most cases methods for collecting evidence of social value will include a combination of background research, observation and direct engagement with community groups</w:t>
      </w:r>
      <w:r w:rsidR="00117B88">
        <w:t xml:space="preserve">; and </w:t>
      </w:r>
    </w:p>
    <w:p w14:paraId="39251858" w14:textId="63F35DEE" w:rsidR="00BB077E" w:rsidRPr="008B659C" w:rsidRDefault="00201892" w:rsidP="008B659C">
      <w:pPr>
        <w:rPr>
          <w:bCs/>
        </w:rPr>
      </w:pPr>
      <w:r w:rsidRPr="008B659C">
        <w:rPr>
          <w:i/>
        </w:rPr>
        <w:t>Strategies for community consultation.</w:t>
      </w:r>
      <w:r w:rsidRPr="008B659C">
        <w:t xml:space="preserve">  </w:t>
      </w:r>
      <w:r w:rsidR="00117B88" w:rsidRPr="00117B88">
        <w:t xml:space="preserve">Regardless of which technique, or combination of techniques, is adopted, the outcomes should establish: </w:t>
      </w:r>
      <w:r w:rsidR="008B659C" w:rsidRPr="008B659C">
        <w:t>t</w:t>
      </w:r>
      <w:r w:rsidR="00117B88" w:rsidRPr="00117B88">
        <w:t xml:space="preserve">he intensity of the group’s attachment to the place; </w:t>
      </w:r>
      <w:r w:rsidR="008B659C">
        <w:t>t</w:t>
      </w:r>
      <w:r w:rsidR="008B659C" w:rsidRPr="00117B88">
        <w:t>he length of time that the community (or communities) have ret</w:t>
      </w:r>
      <w:r w:rsidR="008B659C">
        <w:t>ained an attachment to the place</w:t>
      </w:r>
      <w:r w:rsidR="008B659C" w:rsidRPr="00117B88">
        <w:t>; and</w:t>
      </w:r>
      <w:r w:rsidR="008B659C" w:rsidRPr="008B659C">
        <w:t xml:space="preserve"> </w:t>
      </w:r>
      <w:r w:rsidR="008B659C">
        <w:t>t</w:t>
      </w:r>
      <w:r w:rsidR="008B659C" w:rsidRPr="00117B88">
        <w:t xml:space="preserve">he nature of the community group, or groups, by whom a place is valued </w:t>
      </w:r>
      <w:r w:rsidR="008B659C" w:rsidRPr="00117B88">
        <w:rPr>
          <w:bCs/>
        </w:rPr>
        <w:t xml:space="preserve">(large/small, united/fragmented, </w:t>
      </w:r>
      <w:r w:rsidR="008B659C" w:rsidRPr="00117B88">
        <w:rPr>
          <w:bCs/>
        </w:rPr>
        <w:lastRenderedPageBreak/>
        <w:t>informal/formal etc)</w:t>
      </w:r>
      <w:r w:rsidR="008B659C" w:rsidRPr="00117B88">
        <w:t xml:space="preserve">. </w:t>
      </w:r>
      <w:r w:rsidR="008B659C">
        <w:rPr>
          <w:bCs/>
        </w:rPr>
        <w:t xml:space="preserve"> </w:t>
      </w:r>
      <w:r w:rsidR="00117B88">
        <w:t xml:space="preserve">This reflects an </w:t>
      </w:r>
      <w:r w:rsidR="00117B88">
        <w:rPr>
          <w:rStyle w:val="normaltextrun1"/>
          <w:bCs/>
        </w:rPr>
        <w:t xml:space="preserve">understanding </w:t>
      </w:r>
      <w:r w:rsidR="00117B88">
        <w:t xml:space="preserve">that there are numerous factors of relevance to applying thresholds to social value.  It is considered that the conflation of the factors listed above has often been part of the problem in understanding and managing places of social value in the past.   Breaking down ‘social value’ in this way seeks to recognise that the value can vary appreciably.  It may be latent, or unconscious within a community.  It might equally be conscientiously articulated and central to a community’s identity.  </w:t>
      </w:r>
      <w:r w:rsidR="008B659C">
        <w:t xml:space="preserve">These factors, and others, </w:t>
      </w:r>
      <w:r w:rsidR="00117B88">
        <w:t xml:space="preserve">all contribute to the application of thresholds.  They also have a bearing on approaches to managing social value. </w:t>
      </w:r>
    </w:p>
    <w:p w14:paraId="3C16CFC2" w14:textId="41809929" w:rsidR="00FE5BF7" w:rsidRPr="00B7007B" w:rsidRDefault="00117B88" w:rsidP="003E1A5D">
      <w:pPr>
        <w:pStyle w:val="Heading5"/>
      </w:pPr>
      <w:r>
        <w:t xml:space="preserve">Comment </w:t>
      </w:r>
    </w:p>
    <w:p w14:paraId="3EBFF6E3" w14:textId="3F9696BE" w:rsidR="00565F6B" w:rsidRDefault="00FD4F1C" w:rsidP="003E1A5D">
      <w:pPr>
        <w:rPr>
          <w:i/>
        </w:rPr>
      </w:pPr>
      <w:r>
        <w:t xml:space="preserve">The recommendations of the May 2018 report prepared </w:t>
      </w:r>
      <w:r w:rsidR="00486DC0">
        <w:t>HCV</w:t>
      </w:r>
      <w:r>
        <w:t xml:space="preserve"> pertain to the operation of the </w:t>
      </w:r>
      <w:r>
        <w:rPr>
          <w:i/>
        </w:rPr>
        <w:t xml:space="preserve">Heritage Act 2017 </w:t>
      </w:r>
      <w:r>
        <w:t>(Victoria) (Heritage Act).  It is, however, anticipated that a number of the approaches and principles articulated i</w:t>
      </w:r>
      <w:r w:rsidR="001B3F85">
        <w:t xml:space="preserve">n </w:t>
      </w:r>
      <w:r>
        <w:t xml:space="preserve">that report have the potential to transfer to other jurisdictional contexts, including the </w:t>
      </w:r>
      <w:r>
        <w:rPr>
          <w:i/>
        </w:rPr>
        <w:t xml:space="preserve">Planning and Environment Act 1987.  </w:t>
      </w:r>
    </w:p>
    <w:p w14:paraId="2446609F" w14:textId="1EA0878B" w:rsidR="00FD4F1C" w:rsidRDefault="00246D5C" w:rsidP="003E1A5D">
      <w:pPr>
        <w:rPr>
          <w:lang w:val="en-US"/>
        </w:rPr>
      </w:pPr>
      <w:r>
        <w:rPr>
          <w:lang w:val="en-US"/>
        </w:rPr>
        <w:t>C</w:t>
      </w:r>
      <w:r w:rsidR="00FD4F1C" w:rsidRPr="00FD4F1C">
        <w:rPr>
          <w:lang w:val="en-US"/>
        </w:rPr>
        <w:t xml:space="preserve">onsiderations of relevance to the future identification, assessment and management of social value in the </w:t>
      </w:r>
      <w:r>
        <w:rPr>
          <w:lang w:val="en-US"/>
        </w:rPr>
        <w:t>CoPP</w:t>
      </w:r>
      <w:r w:rsidR="00FD4F1C" w:rsidRPr="00FD4F1C">
        <w:rPr>
          <w:lang w:val="en-US"/>
        </w:rPr>
        <w:t xml:space="preserve"> include: </w:t>
      </w:r>
    </w:p>
    <w:p w14:paraId="31B3E3B5" w14:textId="27A78089" w:rsidR="00A5590B" w:rsidRDefault="00A5590B" w:rsidP="00387A20">
      <w:pPr>
        <w:pStyle w:val="list1"/>
        <w:numPr>
          <w:ilvl w:val="0"/>
          <w:numId w:val="8"/>
        </w:numPr>
        <w:tabs>
          <w:tab w:val="left" w:pos="720"/>
        </w:tabs>
        <w:ind w:left="720"/>
        <w:rPr>
          <w:rStyle w:val="normaltextrun1"/>
          <w:bCs/>
        </w:rPr>
      </w:pPr>
      <w:r w:rsidRPr="00A5590B">
        <w:rPr>
          <w:rStyle w:val="normaltextrun1"/>
          <w:bCs/>
        </w:rPr>
        <w:t>Ensuring that communal sentiment for places based on experience and practice (social values) form</w:t>
      </w:r>
      <w:r w:rsidR="00DF40FB">
        <w:rPr>
          <w:rStyle w:val="normaltextrun1"/>
          <w:bCs/>
        </w:rPr>
        <w:t>s</w:t>
      </w:r>
      <w:r w:rsidRPr="00A5590B">
        <w:rPr>
          <w:rStyle w:val="normaltextrun1"/>
          <w:bCs/>
        </w:rPr>
        <w:t xml:space="preserve"> part of all future heritage assessments</w:t>
      </w:r>
      <w:r w:rsidR="00480EDB">
        <w:rPr>
          <w:rStyle w:val="normaltextrun1"/>
          <w:bCs/>
        </w:rPr>
        <w:t xml:space="preserve">; </w:t>
      </w:r>
      <w:r w:rsidR="00246D5C">
        <w:rPr>
          <w:rStyle w:val="normaltextrun1"/>
          <w:bCs/>
        </w:rPr>
        <w:t xml:space="preserve">and </w:t>
      </w:r>
    </w:p>
    <w:p w14:paraId="37C4F7D9" w14:textId="096F67FA" w:rsidR="00246D5C" w:rsidRPr="00246D5C" w:rsidRDefault="00246D5C" w:rsidP="00387A20">
      <w:pPr>
        <w:pStyle w:val="list1"/>
        <w:numPr>
          <w:ilvl w:val="0"/>
          <w:numId w:val="8"/>
        </w:numPr>
        <w:tabs>
          <w:tab w:val="left" w:pos="720"/>
        </w:tabs>
        <w:ind w:left="720"/>
        <w:rPr>
          <w:bCs/>
        </w:rPr>
      </w:pPr>
      <w:r>
        <w:rPr>
          <w:rStyle w:val="normaltextrun1"/>
          <w:bCs/>
        </w:rPr>
        <w:t xml:space="preserve">Identifying mechanisms for managing (or recognising) social value early in the permit application process, including through Social Impact Assessments </w:t>
      </w:r>
      <w:r w:rsidR="008E29F0">
        <w:rPr>
          <w:rStyle w:val="normaltextrun1"/>
          <w:bCs/>
        </w:rPr>
        <w:t xml:space="preserve">(see Section </w:t>
      </w:r>
      <w:r w:rsidR="008E29F0">
        <w:rPr>
          <w:rStyle w:val="normaltextrun1"/>
          <w:bCs/>
        </w:rPr>
        <w:fldChar w:fldCharType="begin"/>
      </w:r>
      <w:r w:rsidR="008E29F0">
        <w:rPr>
          <w:rStyle w:val="normaltextrun1"/>
          <w:bCs/>
        </w:rPr>
        <w:instrText xml:space="preserve"> REF _Ref522607978 \r \h </w:instrText>
      </w:r>
      <w:r w:rsidR="008E29F0">
        <w:rPr>
          <w:rStyle w:val="normaltextrun1"/>
          <w:bCs/>
        </w:rPr>
      </w:r>
      <w:r w:rsidR="008E29F0">
        <w:rPr>
          <w:rStyle w:val="normaltextrun1"/>
          <w:bCs/>
        </w:rPr>
        <w:fldChar w:fldCharType="separate"/>
      </w:r>
      <w:r w:rsidR="003E105F">
        <w:rPr>
          <w:rStyle w:val="normaltextrun1"/>
          <w:bCs/>
        </w:rPr>
        <w:t>4.3</w:t>
      </w:r>
      <w:r w:rsidR="008E29F0">
        <w:rPr>
          <w:rStyle w:val="normaltextrun1"/>
          <w:bCs/>
        </w:rPr>
        <w:fldChar w:fldCharType="end"/>
      </w:r>
      <w:r w:rsidR="008E29F0">
        <w:rPr>
          <w:rStyle w:val="normaltextrun1"/>
          <w:bCs/>
        </w:rPr>
        <w:t xml:space="preserve">) </w:t>
      </w:r>
      <w:r>
        <w:rPr>
          <w:rStyle w:val="normaltextrun1"/>
          <w:bCs/>
        </w:rPr>
        <w:t xml:space="preserve">which </w:t>
      </w:r>
      <w:r w:rsidRPr="00C73D1F">
        <w:t xml:space="preserve">would </w:t>
      </w:r>
      <w:r>
        <w:t xml:space="preserve">require </w:t>
      </w:r>
      <w:r w:rsidRPr="00C73D1F">
        <w:t>developer</w:t>
      </w:r>
      <w:r>
        <w:t>s</w:t>
      </w:r>
      <w:r w:rsidRPr="00C73D1F">
        <w:t xml:space="preserve"> to consult with the community and recommend mitigating actions</w:t>
      </w:r>
      <w:r w:rsidRPr="00A5590B">
        <w:t xml:space="preserve"> </w:t>
      </w:r>
      <w:r>
        <w:t xml:space="preserve">(including interpretation and recording) </w:t>
      </w:r>
      <w:r w:rsidRPr="00C73D1F">
        <w:t xml:space="preserve">for permit applications where change is proposed to places which have previously been assessed as places of social value, or where </w:t>
      </w:r>
      <w:r w:rsidR="0080012E">
        <w:t xml:space="preserve">it can reasonably be expected that </w:t>
      </w:r>
      <w:r w:rsidRPr="00C73D1F">
        <w:t>social value</w:t>
      </w:r>
      <w:r w:rsidR="0080012E">
        <w:t xml:space="preserve"> is present. </w:t>
      </w:r>
    </w:p>
    <w:p w14:paraId="7BB5E68C" w14:textId="54EC8656" w:rsidR="00A55A9B" w:rsidRDefault="00246D5C" w:rsidP="00A55A9B">
      <w:pPr>
        <w:pStyle w:val="list1"/>
        <w:numPr>
          <w:ilvl w:val="0"/>
          <w:numId w:val="0"/>
        </w:numPr>
        <w:tabs>
          <w:tab w:val="left" w:pos="720"/>
        </w:tabs>
        <w:rPr>
          <w:rStyle w:val="normaltextrun1"/>
          <w:bCs/>
        </w:rPr>
      </w:pPr>
      <w:r>
        <w:rPr>
          <w:bCs/>
        </w:rPr>
        <w:t>I</w:t>
      </w:r>
      <w:r w:rsidR="00993C89">
        <w:rPr>
          <w:bCs/>
        </w:rPr>
        <w:t>t is</w:t>
      </w:r>
      <w:r w:rsidR="0080012E">
        <w:rPr>
          <w:bCs/>
        </w:rPr>
        <w:t xml:space="preserve"> </w:t>
      </w:r>
      <w:r w:rsidR="00993C89">
        <w:rPr>
          <w:bCs/>
        </w:rPr>
        <w:t xml:space="preserve">recognised that </w:t>
      </w:r>
      <w:r w:rsidR="0080012E">
        <w:rPr>
          <w:bCs/>
        </w:rPr>
        <w:t xml:space="preserve">a </w:t>
      </w:r>
      <w:r w:rsidR="00493F6F">
        <w:rPr>
          <w:bCs/>
        </w:rPr>
        <w:t xml:space="preserve">key to </w:t>
      </w:r>
      <w:r w:rsidR="00F37AE2">
        <w:rPr>
          <w:bCs/>
        </w:rPr>
        <w:t xml:space="preserve">substantive and enduring improvements in the assessment and the management of social value will be a </w:t>
      </w:r>
      <w:r w:rsidR="00A55A9B">
        <w:rPr>
          <w:bCs/>
        </w:rPr>
        <w:t xml:space="preserve">set of </w:t>
      </w:r>
      <w:r w:rsidR="00493F6F">
        <w:rPr>
          <w:bCs/>
        </w:rPr>
        <w:t>best practice guidelines</w:t>
      </w:r>
      <w:r w:rsidR="00A55A9B">
        <w:rPr>
          <w:bCs/>
        </w:rPr>
        <w:t xml:space="preserve"> that are </w:t>
      </w:r>
      <w:r w:rsidR="00493F6F">
        <w:rPr>
          <w:bCs/>
        </w:rPr>
        <w:t>adopted State-wide</w:t>
      </w:r>
      <w:r w:rsidR="00A55A9B">
        <w:rPr>
          <w:bCs/>
        </w:rPr>
        <w:t xml:space="preserve"> (or nationally).  The </w:t>
      </w:r>
      <w:r w:rsidR="00ED64D1">
        <w:rPr>
          <w:bCs/>
        </w:rPr>
        <w:t xml:space="preserve">core </w:t>
      </w:r>
      <w:r w:rsidR="00A55A9B">
        <w:rPr>
          <w:bCs/>
        </w:rPr>
        <w:t xml:space="preserve">objective </w:t>
      </w:r>
      <w:r w:rsidR="00ED64D1">
        <w:rPr>
          <w:bCs/>
        </w:rPr>
        <w:t>of the guidelines will be</w:t>
      </w:r>
      <w:r w:rsidR="00A55A9B">
        <w:rPr>
          <w:bCs/>
        </w:rPr>
        <w:t xml:space="preserve"> </w:t>
      </w:r>
      <w:r w:rsidR="00993C89" w:rsidRPr="00993C89">
        <w:rPr>
          <w:bCs/>
        </w:rPr>
        <w:t xml:space="preserve">to </w:t>
      </w:r>
      <w:r w:rsidR="00993C89" w:rsidRPr="00993C89">
        <w:rPr>
          <w:rStyle w:val="normaltextrun1"/>
          <w:bCs/>
        </w:rPr>
        <w:t xml:space="preserve">enable </w:t>
      </w:r>
      <w:r w:rsidR="00A55A9B">
        <w:rPr>
          <w:rStyle w:val="normaltextrun1"/>
          <w:bCs/>
        </w:rPr>
        <w:t xml:space="preserve">assessments of </w:t>
      </w:r>
      <w:r w:rsidR="00993C89" w:rsidRPr="00993C89">
        <w:rPr>
          <w:rStyle w:val="normaltextrun1"/>
          <w:bCs/>
        </w:rPr>
        <w:t xml:space="preserve">social value </w:t>
      </w:r>
      <w:r w:rsidR="00A55A9B">
        <w:rPr>
          <w:rStyle w:val="normaltextrun1"/>
          <w:bCs/>
        </w:rPr>
        <w:t xml:space="preserve">to be undertaken with a degree of </w:t>
      </w:r>
      <w:r w:rsidR="00A55A9B" w:rsidRPr="00BB0091">
        <w:t>rigour and precision that is comparable to other HERCON criteria</w:t>
      </w:r>
      <w:r w:rsidR="00BB0091" w:rsidRPr="00BB0091">
        <w:t>, and to obviate</w:t>
      </w:r>
      <w:r w:rsidR="00ED64D1">
        <w:t>, or at least minimise,</w:t>
      </w:r>
      <w:r w:rsidR="00BB0091" w:rsidRPr="00BB0091">
        <w:t xml:space="preserve"> scenarios where </w:t>
      </w:r>
      <w:r w:rsidR="00ED64D1">
        <w:t xml:space="preserve">assessments of social value </w:t>
      </w:r>
      <w:r w:rsidR="00BB0091" w:rsidRPr="00BB0091">
        <w:t>perceived as ambiguous</w:t>
      </w:r>
      <w:r w:rsidR="0080012E">
        <w:t xml:space="preserve">, </w:t>
      </w:r>
      <w:r w:rsidR="00BB0091" w:rsidRPr="00BB0091">
        <w:t>as occurred with the assessments of the Greyhound and London hotels w</w:t>
      </w:r>
      <w:r w:rsidR="00BB0091" w:rsidRPr="00BB0091">
        <w:rPr>
          <w:bCs/>
        </w:rPr>
        <w:t xml:space="preserve">hich were not considered by the Minister for Planning to </w:t>
      </w:r>
      <w:r w:rsidR="00ED64D1">
        <w:rPr>
          <w:bCs/>
        </w:rPr>
        <w:t>demonstrate evidence of</w:t>
      </w:r>
      <w:r w:rsidR="00BB0091" w:rsidRPr="00BB0091">
        <w:rPr>
          <w:bCs/>
        </w:rPr>
        <w:t xml:space="preserve"> social value beyond reasonable doub</w:t>
      </w:r>
      <w:r w:rsidR="00BB0091">
        <w:rPr>
          <w:bCs/>
        </w:rPr>
        <w:t>t.</w:t>
      </w:r>
      <w:r w:rsidR="00ED64D1">
        <w:rPr>
          <w:rStyle w:val="FootnoteReference"/>
          <w:bCs/>
        </w:rPr>
        <w:footnoteReference w:id="39"/>
      </w:r>
    </w:p>
    <w:p w14:paraId="51D23D00" w14:textId="21F25A8A" w:rsidR="00692F1B" w:rsidRDefault="001A6383" w:rsidP="00246D5C">
      <w:pPr>
        <w:pStyle w:val="list1"/>
        <w:numPr>
          <w:ilvl w:val="0"/>
          <w:numId w:val="0"/>
        </w:numPr>
        <w:tabs>
          <w:tab w:val="left" w:pos="720"/>
        </w:tabs>
        <w:rPr>
          <w:bCs/>
        </w:rPr>
      </w:pPr>
      <w:r>
        <w:rPr>
          <w:bCs/>
        </w:rPr>
        <w:t>I</w:t>
      </w:r>
      <w:r w:rsidR="00692F1B">
        <w:rPr>
          <w:bCs/>
        </w:rPr>
        <w:t xml:space="preserve">t is understood that </w:t>
      </w:r>
      <w:bookmarkStart w:id="63" w:name="_Ref509907023"/>
      <w:bookmarkStart w:id="64" w:name="_Toc515379168"/>
      <w:r w:rsidR="008B659C">
        <w:rPr>
          <w:bCs/>
        </w:rPr>
        <w:t>HCV</w:t>
      </w:r>
      <w:r>
        <w:rPr>
          <w:bCs/>
        </w:rPr>
        <w:t xml:space="preserve"> has plans to prepare </w:t>
      </w:r>
      <w:r w:rsidR="00692F1B">
        <w:rPr>
          <w:bCs/>
        </w:rPr>
        <w:t>g</w:t>
      </w:r>
      <w:r w:rsidR="00692F1B">
        <w:t>uidelines for identifying and assessing places of social value</w:t>
      </w:r>
      <w:bookmarkEnd w:id="63"/>
      <w:bookmarkEnd w:id="64"/>
      <w:r>
        <w:t xml:space="preserve"> in 2019</w:t>
      </w:r>
      <w:r w:rsidR="00692F1B">
        <w:t xml:space="preserve">.  </w:t>
      </w:r>
    </w:p>
    <w:p w14:paraId="0DCAFE97" w14:textId="77777777" w:rsidR="00247EA7" w:rsidRPr="00247EA7" w:rsidRDefault="00A368BC" w:rsidP="00247EA7">
      <w:pPr>
        <w:pStyle w:val="Heading1"/>
      </w:pPr>
      <w:bookmarkStart w:id="65" w:name="_Ref517776531"/>
      <w:bookmarkStart w:id="66" w:name="_Toc522766158"/>
      <w:r>
        <w:t>Findings</w:t>
      </w:r>
      <w:bookmarkEnd w:id="65"/>
      <w:bookmarkEnd w:id="66"/>
    </w:p>
    <w:p w14:paraId="6D28A4D4" w14:textId="6D80C841" w:rsidR="00BB077E" w:rsidRDefault="00BB077E" w:rsidP="00BB077E">
      <w:r>
        <w:t>As noted, the engagement activities employed for the</w:t>
      </w:r>
      <w:r w:rsidRPr="009A625C">
        <w:t xml:space="preserve"> </w:t>
      </w:r>
      <w:r>
        <w:t xml:space="preserve">‘Heritage, Here and Now’ campaign yielded a variety of outcomes, from quantitative data to personal observations and positions – further information about the engagement techniques is at Section </w:t>
      </w:r>
      <w:r>
        <w:fldChar w:fldCharType="begin"/>
      </w:r>
      <w:r>
        <w:instrText xml:space="preserve"> REF _Ref518914845 \r \h </w:instrText>
      </w:r>
      <w:r>
        <w:fldChar w:fldCharType="separate"/>
      </w:r>
      <w:r w:rsidR="003E105F">
        <w:t>2.1</w:t>
      </w:r>
      <w:r>
        <w:fldChar w:fldCharType="end"/>
      </w:r>
      <w:r>
        <w:t xml:space="preserve"> and Appendices B and C.  The cumulative outcome, while unavoidably incomplete, provides a rich source of observations and intelligence with the potential to inform subsequent stages of the Heritage Program.  The findings are summarised and discussed below.  </w:t>
      </w:r>
    </w:p>
    <w:p w14:paraId="2951674A" w14:textId="7621EE55" w:rsidR="00090702" w:rsidRDefault="00090702" w:rsidP="00090702">
      <w:pPr>
        <w:pStyle w:val="Heading2"/>
      </w:pPr>
      <w:bookmarkStart w:id="67" w:name="_Toc522766159"/>
      <w:r>
        <w:t>Typologies</w:t>
      </w:r>
      <w:bookmarkEnd w:id="67"/>
    </w:p>
    <w:p w14:paraId="65D7F228" w14:textId="54B96A09" w:rsidR="003E2F1C" w:rsidRDefault="00227EA7" w:rsidP="00F32423">
      <w:r>
        <w:t>For th</w:t>
      </w:r>
      <w:r w:rsidR="00DE22DB">
        <w:t xml:space="preserve">e purposes of the </w:t>
      </w:r>
      <w:r w:rsidR="00090702">
        <w:t xml:space="preserve">following </w:t>
      </w:r>
      <w:r w:rsidR="00DE22DB">
        <w:t>analysis</w:t>
      </w:r>
      <w:r>
        <w:t xml:space="preserve">, places, elements and attributes identified by members of the community during the campaign </w:t>
      </w:r>
      <w:r w:rsidR="00012AC8">
        <w:t xml:space="preserve">as being important to them </w:t>
      </w:r>
      <w:r w:rsidR="009A625C">
        <w:t>have been grouped typologi</w:t>
      </w:r>
      <w:r w:rsidR="00F32423">
        <w:t xml:space="preserve">cally, as below.  For the purposes of this study, places, elements and attributes identified by the community during this campaign are considered to be of social value. </w:t>
      </w:r>
    </w:p>
    <w:p w14:paraId="29A00907" w14:textId="77777777" w:rsidR="00CF36F1" w:rsidRDefault="00CF36F1" w:rsidP="00CF36F1">
      <w:pPr>
        <w:pStyle w:val="list1"/>
        <w:numPr>
          <w:ilvl w:val="0"/>
          <w:numId w:val="4"/>
        </w:numPr>
        <w:tabs>
          <w:tab w:val="left" w:pos="720"/>
        </w:tabs>
      </w:pPr>
      <w:bookmarkStart w:id="68" w:name="_Ref520174801"/>
      <w:r>
        <w:lastRenderedPageBreak/>
        <w:t>Cultural landscapes – Large-scale areas (landscapes) within which buildings, natural features (including watercourses, trees and topography), elements and sensory attributes are valued collectively, or as a composition, rather than in isolation.  For the purposes of this project, areas that satisfy this description are understood as living (or continuing) landscapes that are valued for their cultural associations</w:t>
      </w:r>
      <w:r>
        <w:rPr>
          <w:rFonts w:ascii="Arial" w:hAnsi="Arial" w:cs="Arial"/>
          <w:color w:val="222222"/>
          <w:sz w:val="21"/>
          <w:szCs w:val="21"/>
          <w:shd w:val="clear" w:color="auto" w:fill="FFFFFF"/>
        </w:rPr>
        <w:t xml:space="preserve">. </w:t>
      </w:r>
    </w:p>
    <w:p w14:paraId="7EAD2113" w14:textId="77777777" w:rsidR="00BB077E" w:rsidRDefault="00BB077E" w:rsidP="00BB077E">
      <w:pPr>
        <w:pStyle w:val="list1"/>
        <w:numPr>
          <w:ilvl w:val="0"/>
          <w:numId w:val="4"/>
        </w:numPr>
      </w:pPr>
      <w:r>
        <w:t xml:space="preserve">Landmarks – Prominent buildings/features. </w:t>
      </w:r>
    </w:p>
    <w:p w14:paraId="52DADDD2" w14:textId="77777777" w:rsidR="00BB077E" w:rsidRDefault="00BB077E" w:rsidP="00BB077E">
      <w:pPr>
        <w:pStyle w:val="list1"/>
        <w:numPr>
          <w:ilvl w:val="0"/>
          <w:numId w:val="4"/>
        </w:numPr>
      </w:pPr>
      <w:r>
        <w:t xml:space="preserve">Civic buildings – Including, but not limited to, town halls and museums.  </w:t>
      </w:r>
    </w:p>
    <w:p w14:paraId="317CAE50" w14:textId="77777777" w:rsidR="00BB077E" w:rsidRDefault="00BB077E" w:rsidP="00BB077E">
      <w:pPr>
        <w:pStyle w:val="list1"/>
        <w:numPr>
          <w:ilvl w:val="0"/>
          <w:numId w:val="4"/>
        </w:numPr>
      </w:pPr>
      <w:r>
        <w:t xml:space="preserve">Places of entertainment – Including, but not limited to, theatres, venues for live musical performance and cinemas.  </w:t>
      </w:r>
    </w:p>
    <w:p w14:paraId="1737F18E" w14:textId="77777777" w:rsidR="00BB077E" w:rsidRDefault="00BB077E" w:rsidP="00BB077E">
      <w:pPr>
        <w:pStyle w:val="list1"/>
        <w:numPr>
          <w:ilvl w:val="0"/>
          <w:numId w:val="4"/>
        </w:numPr>
      </w:pPr>
      <w:r>
        <w:t xml:space="preserve">Public parks and gardens – Landscaped and informal open spaces.  </w:t>
      </w:r>
    </w:p>
    <w:p w14:paraId="583A9ACB" w14:textId="77777777" w:rsidR="00BB077E" w:rsidRDefault="00BB077E" w:rsidP="00BB077E">
      <w:pPr>
        <w:pStyle w:val="list1"/>
        <w:numPr>
          <w:ilvl w:val="0"/>
          <w:numId w:val="4"/>
        </w:numPr>
      </w:pPr>
      <w:r>
        <w:t xml:space="preserve">Historic retail strips – Retail strips, typically pre-dating the 1940s in origin, with a prevailing consistency of built character and scale. </w:t>
      </w:r>
    </w:p>
    <w:p w14:paraId="70D4677B" w14:textId="77777777" w:rsidR="00CF36F1" w:rsidRDefault="00CF36F1" w:rsidP="00CF36F1">
      <w:pPr>
        <w:pStyle w:val="list1"/>
        <w:numPr>
          <w:ilvl w:val="0"/>
          <w:numId w:val="4"/>
        </w:numPr>
        <w:tabs>
          <w:tab w:val="left" w:pos="720"/>
        </w:tabs>
      </w:pPr>
      <w:r>
        <w:t xml:space="preserve">Historic hotels – Hotels, typically nineteenth century in origin, many occupying corner sites.  </w:t>
      </w:r>
    </w:p>
    <w:p w14:paraId="56F09A1A" w14:textId="77777777" w:rsidR="00BB077E" w:rsidRDefault="00BB077E" w:rsidP="00BB077E">
      <w:pPr>
        <w:pStyle w:val="list1"/>
        <w:numPr>
          <w:ilvl w:val="0"/>
          <w:numId w:val="4"/>
        </w:numPr>
      </w:pPr>
      <w:r>
        <w:t>Memorial sites – Including, but not limited to, cemeteries and statues/markers recalling events and/or individuals of significance to the community.</w:t>
      </w:r>
    </w:p>
    <w:p w14:paraId="6754B69A" w14:textId="77777777" w:rsidR="00BB077E" w:rsidRDefault="00BB077E" w:rsidP="00BB077E">
      <w:pPr>
        <w:pStyle w:val="list1"/>
        <w:numPr>
          <w:ilvl w:val="0"/>
          <w:numId w:val="4"/>
        </w:numPr>
      </w:pPr>
      <w:r>
        <w:t>Places of worship – Including, but not limited to, churches, chapels and synagogues.</w:t>
      </w:r>
    </w:p>
    <w:p w14:paraId="37EE2603" w14:textId="77777777" w:rsidR="00BB077E" w:rsidRDefault="00BB077E" w:rsidP="00BB077E">
      <w:pPr>
        <w:pStyle w:val="list1"/>
        <w:numPr>
          <w:ilvl w:val="0"/>
          <w:numId w:val="4"/>
        </w:numPr>
      </w:pPr>
      <w:r>
        <w:t>Places of communal interaction – Including markets (historic and modern) and community gardens.</w:t>
      </w:r>
    </w:p>
    <w:p w14:paraId="4635026D" w14:textId="77777777" w:rsidR="00BB077E" w:rsidRDefault="00BB077E" w:rsidP="00BB077E">
      <w:pPr>
        <w:pStyle w:val="list1"/>
        <w:numPr>
          <w:ilvl w:val="0"/>
          <w:numId w:val="4"/>
        </w:numPr>
      </w:pPr>
      <w:r>
        <w:t>Community facilities – Including, but not limited to, libraries, community centres and community learning centres.</w:t>
      </w:r>
    </w:p>
    <w:p w14:paraId="7AAAF86B" w14:textId="77777777" w:rsidR="00BB077E" w:rsidRPr="00030887" w:rsidRDefault="00BB077E" w:rsidP="00BB077E">
      <w:pPr>
        <w:pStyle w:val="list1"/>
        <w:numPr>
          <w:ilvl w:val="0"/>
          <w:numId w:val="4"/>
        </w:numPr>
      </w:pPr>
      <w:r w:rsidRPr="00030887">
        <w:t>Indigenous – Places and practices of value to TO groups.</w:t>
      </w:r>
    </w:p>
    <w:p w14:paraId="0C09257F" w14:textId="77777777" w:rsidR="00BB077E" w:rsidRPr="00030887" w:rsidRDefault="00BB077E" w:rsidP="00BB077E">
      <w:pPr>
        <w:pStyle w:val="list1"/>
        <w:numPr>
          <w:ilvl w:val="0"/>
          <w:numId w:val="4"/>
        </w:numPr>
      </w:pPr>
      <w:r w:rsidRPr="00030887">
        <w:t>Sport and recreation clubs</w:t>
      </w:r>
    </w:p>
    <w:p w14:paraId="55F04018" w14:textId="77777777" w:rsidR="00BB077E" w:rsidRPr="00030887" w:rsidRDefault="00BB077E" w:rsidP="00BB077E">
      <w:pPr>
        <w:pStyle w:val="list1"/>
        <w:numPr>
          <w:ilvl w:val="0"/>
          <w:numId w:val="4"/>
        </w:numPr>
      </w:pPr>
      <w:r w:rsidRPr="00030887">
        <w:t xml:space="preserve">Residential buildings </w:t>
      </w:r>
    </w:p>
    <w:p w14:paraId="7CD7B314" w14:textId="77777777" w:rsidR="00BB077E" w:rsidRPr="00030887" w:rsidRDefault="00BB077E" w:rsidP="00BB077E">
      <w:pPr>
        <w:pStyle w:val="list1"/>
        <w:numPr>
          <w:ilvl w:val="0"/>
          <w:numId w:val="4"/>
        </w:numPr>
      </w:pPr>
      <w:r w:rsidRPr="00030887">
        <w:t>Bars /restaurants – Food and beverage premises, generally of recent origin.</w:t>
      </w:r>
    </w:p>
    <w:p w14:paraId="79FE08B6" w14:textId="77777777" w:rsidR="00BB077E" w:rsidRPr="00030887" w:rsidRDefault="00BB077E" w:rsidP="00BB077E">
      <w:pPr>
        <w:pStyle w:val="list1"/>
        <w:numPr>
          <w:ilvl w:val="0"/>
          <w:numId w:val="4"/>
        </w:numPr>
      </w:pPr>
      <w:r w:rsidRPr="00030887">
        <w:t xml:space="preserve">Industrial heritage – Structures built for an industrial function, the majority of which have been adapted for an alternative use. </w:t>
      </w:r>
    </w:p>
    <w:p w14:paraId="21A13777" w14:textId="77777777" w:rsidR="00BB077E" w:rsidRPr="00030887" w:rsidRDefault="00BB077E" w:rsidP="00BB077E">
      <w:pPr>
        <w:pStyle w:val="list1"/>
        <w:numPr>
          <w:ilvl w:val="0"/>
          <w:numId w:val="4"/>
        </w:numPr>
      </w:pPr>
      <w:r w:rsidRPr="00030887">
        <w:t xml:space="preserve">Retail premises – Shops and retail premises, generally of recent origin.  </w:t>
      </w:r>
    </w:p>
    <w:p w14:paraId="40D981C2" w14:textId="77777777" w:rsidR="00BB077E" w:rsidRPr="00030887" w:rsidRDefault="00BB077E" w:rsidP="00BB077E">
      <w:pPr>
        <w:pStyle w:val="list1"/>
        <w:numPr>
          <w:ilvl w:val="0"/>
          <w:numId w:val="4"/>
        </w:numPr>
      </w:pPr>
      <w:r w:rsidRPr="00030887">
        <w:t xml:space="preserve">Attributes/events that are not buildings or places – Examples referenced include: heritage plaques; a public table tennis table; enamel street signs; street parties; and penguins.  </w:t>
      </w:r>
    </w:p>
    <w:p w14:paraId="28FC2DEA" w14:textId="3FCC2D70" w:rsidR="00090702" w:rsidRDefault="00F32D7E" w:rsidP="00090702">
      <w:pPr>
        <w:pStyle w:val="Heading2"/>
      </w:pPr>
      <w:bookmarkStart w:id="69" w:name="_Toc522766160"/>
      <w:r>
        <w:t xml:space="preserve">Analysis </w:t>
      </w:r>
      <w:r w:rsidR="0055590A">
        <w:t>of places identified</w:t>
      </w:r>
      <w:bookmarkEnd w:id="68"/>
      <w:bookmarkEnd w:id="69"/>
    </w:p>
    <w:p w14:paraId="276F4E5D" w14:textId="17CBFA0D" w:rsidR="00341C2E" w:rsidRDefault="00654FFF" w:rsidP="009A625C">
      <w:r w:rsidRPr="0062442A">
        <w:t xml:space="preserve">During the campaign, members of the community were asked, ‘What three places in the municipality are important to you and why?’  </w:t>
      </w:r>
      <w:r w:rsidR="00341C2E" w:rsidRPr="0062442A">
        <w:t xml:space="preserve">This question was posed in the online survey, during ‘key stakeholder’ meetings and at the three pop-ups.  As noted at Section </w:t>
      </w:r>
      <w:r w:rsidR="00341C2E" w:rsidRPr="0062442A">
        <w:fldChar w:fldCharType="begin"/>
      </w:r>
      <w:r w:rsidR="00341C2E" w:rsidRPr="0062442A">
        <w:instrText xml:space="preserve"> REF _Ref522553302 \r \h </w:instrText>
      </w:r>
      <w:r w:rsidR="007F76B2" w:rsidRPr="0062442A">
        <w:instrText xml:space="preserve"> \* MERGEFORMAT </w:instrText>
      </w:r>
      <w:r w:rsidR="00341C2E" w:rsidRPr="0062442A">
        <w:fldChar w:fldCharType="separate"/>
      </w:r>
      <w:r w:rsidR="003E105F">
        <w:t>1.3.4</w:t>
      </w:r>
      <w:r w:rsidR="00341C2E" w:rsidRPr="0062442A">
        <w:fldChar w:fldCharType="end"/>
      </w:r>
      <w:r w:rsidR="00341C2E" w:rsidRPr="0062442A">
        <w:t>, the nature of the responses to this question was coloured by the context in which it was asked, or experienced</w:t>
      </w:r>
      <w:r w:rsidR="0062442A" w:rsidRPr="0062442A">
        <w:t xml:space="preserve">, and generated a range of </w:t>
      </w:r>
      <w:r w:rsidR="00341C2E" w:rsidRPr="0062442A">
        <w:t xml:space="preserve">quantitative </w:t>
      </w:r>
      <w:r w:rsidR="0062442A" w:rsidRPr="0062442A">
        <w:t xml:space="preserve">and </w:t>
      </w:r>
      <w:r w:rsidR="00341C2E" w:rsidRPr="0062442A">
        <w:t xml:space="preserve">qualitative </w:t>
      </w:r>
      <w:r w:rsidR="0062442A" w:rsidRPr="0062442A">
        <w:t xml:space="preserve">data. </w:t>
      </w:r>
    </w:p>
    <w:p w14:paraId="4AC4A318" w14:textId="7D69F0C6" w:rsidR="00597321" w:rsidRPr="00341C2E" w:rsidRDefault="00341C2E" w:rsidP="009A625C">
      <w:r w:rsidRPr="006C331A">
        <w:t>Approximately 300 places that are valued by at least one member of the community were identified (see Appendix D).</w:t>
      </w:r>
      <w:r w:rsidRPr="0062442A">
        <w:rPr>
          <w:rStyle w:val="FootnoteReference"/>
          <w:bCs/>
          <w:lang w:val="en-GB"/>
        </w:rPr>
        <w:footnoteReference w:id="40"/>
      </w:r>
      <w:r w:rsidRPr="0062442A">
        <w:rPr>
          <w:rStyle w:val="FootnoteReference"/>
          <w:bCs/>
          <w:lang w:val="en-GB"/>
        </w:rPr>
        <w:t xml:space="preserve">  </w:t>
      </w:r>
      <w:r w:rsidRPr="006C331A">
        <w:t>Of these, approximately 70%are subject to som</w:t>
      </w:r>
      <w:r w:rsidR="006C331A" w:rsidRPr="006C331A">
        <w:t>e form of heritage control</w:t>
      </w:r>
      <w:r w:rsidRPr="006C331A">
        <w:t xml:space="preserve"> under the CoPP Planning Scheme, and </w:t>
      </w:r>
      <w:r w:rsidR="006C331A" w:rsidRPr="006C331A">
        <w:t xml:space="preserve">approximately 24% </w:t>
      </w:r>
      <w:r w:rsidRPr="006C331A">
        <w:t>are not cont</w:t>
      </w:r>
      <w:r w:rsidR="006C331A" w:rsidRPr="006C331A">
        <w:t xml:space="preserve">rolled.  Of these, there are c. 50 </w:t>
      </w:r>
      <w:r w:rsidRPr="006C331A">
        <w:t xml:space="preserve">places that </w:t>
      </w:r>
      <w:r w:rsidRPr="006C331A">
        <w:lastRenderedPageBreak/>
        <w:t>are not included within an HO precinct and are not the subject of site-spe</w:t>
      </w:r>
      <w:r w:rsidR="006C331A" w:rsidRPr="006C331A">
        <w:t>cific controls; and a further 20 or so</w:t>
      </w:r>
      <w:r w:rsidRPr="006C331A">
        <w:t xml:space="preserve"> places that are non-contributory places within an HO precinct.  The balance of the places identified are outside the CoPP boundaries</w:t>
      </w:r>
      <w:r w:rsidR="006C331A" w:rsidRPr="006C331A">
        <w:t xml:space="preserve">, </w:t>
      </w:r>
      <w:r w:rsidR="006C331A">
        <w:t>un</w:t>
      </w:r>
      <w:r w:rsidR="00E078ED" w:rsidRPr="006C331A">
        <w:t>i</w:t>
      </w:r>
      <w:r w:rsidR="006C331A" w:rsidRPr="006C331A">
        <w:t>dentifiable or have been demolished</w:t>
      </w:r>
      <w:r w:rsidR="00E078ED" w:rsidRPr="006C331A">
        <w:t>.</w:t>
      </w:r>
      <w:r w:rsidR="00654FFF" w:rsidRPr="006C331A">
        <w:t xml:space="preserve">  </w:t>
      </w:r>
      <w:r w:rsidR="00987304" w:rsidRPr="006C331A">
        <w:t xml:space="preserve">A high-level analysis of the outcomes is at </w:t>
      </w:r>
      <w:r w:rsidR="00987304" w:rsidRPr="006C331A">
        <w:fldChar w:fldCharType="begin"/>
      </w:r>
      <w:r w:rsidR="00987304" w:rsidRPr="006C331A">
        <w:instrText xml:space="preserve"> REF _Ref518995053 \h </w:instrText>
      </w:r>
      <w:r w:rsidR="00AC7638" w:rsidRPr="006C331A">
        <w:instrText xml:space="preserve"> \* MERGEFORMAT </w:instrText>
      </w:r>
      <w:r w:rsidR="00987304" w:rsidRPr="006C331A">
        <w:fldChar w:fldCharType="separate"/>
      </w:r>
      <w:r w:rsidR="003E105F">
        <w:t>Table 2</w:t>
      </w:r>
      <w:r w:rsidR="00987304" w:rsidRPr="006C331A">
        <w:fldChar w:fldCharType="end"/>
      </w:r>
      <w:r w:rsidR="00987304" w:rsidRPr="006C331A">
        <w:t xml:space="preserve">.  </w:t>
      </w:r>
    </w:p>
    <w:p w14:paraId="100388BB" w14:textId="0CA03FBA" w:rsidR="00D13B0B" w:rsidRDefault="00E078ED" w:rsidP="009A625C">
      <w:r w:rsidRPr="006C331A">
        <w:t xml:space="preserve">Places </w:t>
      </w:r>
      <w:r w:rsidR="00987304" w:rsidRPr="006C331A">
        <w:t xml:space="preserve">that are not controlled </w:t>
      </w:r>
      <w:r w:rsidRPr="006C331A">
        <w:t xml:space="preserve">are </w:t>
      </w:r>
      <w:r w:rsidR="00AA046C" w:rsidRPr="006C331A">
        <w:t>of particular</w:t>
      </w:r>
      <w:r w:rsidRPr="006C331A">
        <w:t xml:space="preserve"> relevance </w:t>
      </w:r>
      <w:r w:rsidR="00AA046C" w:rsidRPr="006C331A">
        <w:t xml:space="preserve">in the context of the </w:t>
      </w:r>
      <w:r w:rsidR="00654FFF" w:rsidRPr="006C331A">
        <w:t xml:space="preserve">Stage 1 brief, which </w:t>
      </w:r>
      <w:r w:rsidR="00AA046C" w:rsidRPr="006C331A">
        <w:t xml:space="preserve">requires the identification of </w:t>
      </w:r>
      <w:r w:rsidR="00654FFF" w:rsidRPr="006C331A">
        <w:t xml:space="preserve">'unprotected' </w:t>
      </w:r>
      <w:r w:rsidR="00AA046C" w:rsidRPr="006C331A">
        <w:t xml:space="preserve">or vulnerable </w:t>
      </w:r>
      <w:r w:rsidR="00654FFF" w:rsidRPr="006C331A">
        <w:t xml:space="preserve">places that are important to </w:t>
      </w:r>
      <w:r w:rsidR="00987304" w:rsidRPr="006C331A">
        <w:t xml:space="preserve">the community </w:t>
      </w:r>
      <w:r w:rsidR="004D48E3" w:rsidRPr="006C331A">
        <w:t xml:space="preserve">(see Section </w:t>
      </w:r>
      <w:r w:rsidR="004D48E3" w:rsidRPr="006C331A">
        <w:fldChar w:fldCharType="begin"/>
      </w:r>
      <w:r w:rsidR="004D48E3" w:rsidRPr="006C331A">
        <w:instrText xml:space="preserve"> REF _Ref520172293 \r \h </w:instrText>
      </w:r>
      <w:r w:rsidR="00AC7638" w:rsidRPr="006C331A">
        <w:instrText xml:space="preserve"> \* MERGEFORMAT </w:instrText>
      </w:r>
      <w:r w:rsidR="004D48E3" w:rsidRPr="006C331A">
        <w:fldChar w:fldCharType="separate"/>
      </w:r>
      <w:r w:rsidR="003E105F">
        <w:t>6.2.2</w:t>
      </w:r>
      <w:r w:rsidR="004D48E3" w:rsidRPr="006C331A">
        <w:fldChar w:fldCharType="end"/>
      </w:r>
      <w:r w:rsidR="00987304" w:rsidRPr="006C331A">
        <w:t xml:space="preserve">). </w:t>
      </w:r>
    </w:p>
    <w:p w14:paraId="7A449305" w14:textId="77777777" w:rsidR="006C331A" w:rsidRPr="006C331A" w:rsidRDefault="006C331A" w:rsidP="009A625C"/>
    <w:p w14:paraId="31C0AF7C" w14:textId="0A0A2953" w:rsidR="004C32B0" w:rsidRDefault="00336B02" w:rsidP="00336B02">
      <w:pPr>
        <w:pStyle w:val="Caption"/>
      </w:pPr>
      <w:bookmarkStart w:id="70" w:name="_Ref518995053"/>
      <w:r>
        <w:t xml:space="preserve">Table </w:t>
      </w:r>
      <w:r w:rsidR="00B71F81">
        <w:rPr>
          <w:noProof/>
        </w:rPr>
        <w:fldChar w:fldCharType="begin"/>
      </w:r>
      <w:r w:rsidR="00B71F81">
        <w:rPr>
          <w:noProof/>
        </w:rPr>
        <w:instrText xml:space="preserve"> SEQ Table \* ARABIC </w:instrText>
      </w:r>
      <w:r w:rsidR="00B71F81">
        <w:rPr>
          <w:noProof/>
        </w:rPr>
        <w:fldChar w:fldCharType="separate"/>
      </w:r>
      <w:r w:rsidR="003E105F">
        <w:rPr>
          <w:noProof/>
        </w:rPr>
        <w:t>2</w:t>
      </w:r>
      <w:r w:rsidR="00B71F81">
        <w:rPr>
          <w:noProof/>
        </w:rPr>
        <w:fldChar w:fldCharType="end"/>
      </w:r>
      <w:bookmarkEnd w:id="70"/>
      <w:r>
        <w:tab/>
        <w:t xml:space="preserve">Places and attributes identified </w:t>
      </w:r>
      <w:r w:rsidRPr="00786C1E">
        <w:t xml:space="preserve">during </w:t>
      </w:r>
      <w:r w:rsidR="00592C20" w:rsidRPr="00786C1E">
        <w:t>the online surv</w:t>
      </w:r>
      <w:r w:rsidR="00786C1E" w:rsidRPr="00786C1E">
        <w:t>ey and key stakeholder meetings</w:t>
      </w:r>
    </w:p>
    <w:tbl>
      <w:tblPr>
        <w:tblStyle w:val="TableGrid"/>
        <w:tblW w:w="8500" w:type="dxa"/>
        <w:tblLook w:val="04A0" w:firstRow="1" w:lastRow="0" w:firstColumn="1" w:lastColumn="0" w:noHBand="0" w:noVBand="1"/>
      </w:tblPr>
      <w:tblGrid>
        <w:gridCol w:w="2263"/>
        <w:gridCol w:w="2835"/>
        <w:gridCol w:w="3402"/>
      </w:tblGrid>
      <w:tr w:rsidR="009751A8" w:rsidRPr="00DD6446" w14:paraId="1816A787" w14:textId="77777777" w:rsidTr="009B0C0B">
        <w:trPr>
          <w:tblHeader/>
        </w:trPr>
        <w:tc>
          <w:tcPr>
            <w:tcW w:w="2263" w:type="dxa"/>
          </w:tcPr>
          <w:p w14:paraId="4818F406" w14:textId="77777777" w:rsidR="009751A8" w:rsidRPr="00DD6446" w:rsidRDefault="009751A8" w:rsidP="007642A1">
            <w:pPr>
              <w:rPr>
                <w:b/>
                <w:i/>
              </w:rPr>
            </w:pPr>
            <w:r w:rsidRPr="00DD6446">
              <w:rPr>
                <w:b/>
                <w:i/>
              </w:rPr>
              <w:t>Survey outcome(s)</w:t>
            </w:r>
          </w:p>
        </w:tc>
        <w:tc>
          <w:tcPr>
            <w:tcW w:w="2835" w:type="dxa"/>
          </w:tcPr>
          <w:p w14:paraId="00566B11" w14:textId="77777777" w:rsidR="009751A8" w:rsidRPr="00DD6446" w:rsidRDefault="009751A8" w:rsidP="007642A1">
            <w:pPr>
              <w:rPr>
                <w:b/>
                <w:i/>
              </w:rPr>
            </w:pPr>
            <w:r w:rsidRPr="00DD6446">
              <w:rPr>
                <w:b/>
                <w:i/>
              </w:rPr>
              <w:t xml:space="preserve">Examples </w:t>
            </w:r>
          </w:p>
        </w:tc>
        <w:tc>
          <w:tcPr>
            <w:tcW w:w="3402" w:type="dxa"/>
          </w:tcPr>
          <w:p w14:paraId="0E561956" w14:textId="4F721863" w:rsidR="009751A8" w:rsidRPr="00DD6446" w:rsidRDefault="009751A8" w:rsidP="007642A1">
            <w:pPr>
              <w:rPr>
                <w:b/>
                <w:i/>
              </w:rPr>
            </w:pPr>
            <w:r w:rsidRPr="00DD6446">
              <w:rPr>
                <w:b/>
                <w:i/>
              </w:rPr>
              <w:t>Comment</w:t>
            </w:r>
            <w:r w:rsidR="009B0C0B">
              <w:rPr>
                <w:b/>
                <w:i/>
              </w:rPr>
              <w:t>s)</w:t>
            </w:r>
          </w:p>
        </w:tc>
      </w:tr>
      <w:tr w:rsidR="008E6740" w14:paraId="5C55E578" w14:textId="77777777" w:rsidTr="009B0C0B">
        <w:tc>
          <w:tcPr>
            <w:tcW w:w="2263" w:type="dxa"/>
          </w:tcPr>
          <w:p w14:paraId="154C0A75" w14:textId="259C30AC" w:rsidR="008E6740" w:rsidRDefault="008E6740" w:rsidP="00904A65">
            <w:r w:rsidRPr="008E6740">
              <w:rPr>
                <w:i/>
              </w:rPr>
              <w:t>Cultural landscapes –</w:t>
            </w:r>
            <w:r>
              <w:t xml:space="preserve"> Large-scale areas (landscapes) within which buildings, attributes, natural characteristics and elements are valued collectively</w:t>
            </w:r>
            <w:r w:rsidR="002E5D6B">
              <w:t xml:space="preserve"> </w:t>
            </w:r>
            <w:r w:rsidR="00407A6A">
              <w:t xml:space="preserve">– </w:t>
            </w:r>
            <w:r w:rsidR="00B93F7C">
              <w:t xml:space="preserve">c. 50 of 300 responses </w:t>
            </w:r>
          </w:p>
          <w:p w14:paraId="151FDDE1" w14:textId="4C798007" w:rsidR="000C6C7D" w:rsidRPr="00DD6446" w:rsidRDefault="000C6C7D" w:rsidP="00904A65">
            <w:r>
              <w:t>Given the collective/generic nature of the places identified it has not been possible to identify whether heritage controls apply to all of them.</w:t>
            </w:r>
          </w:p>
        </w:tc>
        <w:tc>
          <w:tcPr>
            <w:tcW w:w="2835" w:type="dxa"/>
          </w:tcPr>
          <w:p w14:paraId="028FC9CC" w14:textId="0C64D96B" w:rsidR="008E6740" w:rsidRDefault="008E6740" w:rsidP="00904A65">
            <w:r>
              <w:t>‘Established significant trees/boulevards’</w:t>
            </w:r>
          </w:p>
          <w:p w14:paraId="13F5861C" w14:textId="39210F8F" w:rsidR="00AA4B86" w:rsidRDefault="00AA4B86" w:rsidP="00904A65">
            <w:r>
              <w:t>‘Weatherboard cottages’</w:t>
            </w:r>
          </w:p>
          <w:p w14:paraId="613D4E68" w14:textId="77777777" w:rsidR="008E6740" w:rsidRDefault="008E6740" w:rsidP="00904A65">
            <w:r>
              <w:t xml:space="preserve">‘Low rise architecture and views of the sky’ </w:t>
            </w:r>
          </w:p>
          <w:p w14:paraId="07F5C793" w14:textId="77777777" w:rsidR="008E6740" w:rsidRDefault="008E6740" w:rsidP="00904A65">
            <w:r>
              <w:t>‘Heritage residential and commercial streetscapes’</w:t>
            </w:r>
          </w:p>
          <w:p w14:paraId="7AF60A12" w14:textId="77777777" w:rsidR="008E6740" w:rsidRDefault="008E6740" w:rsidP="00904A65">
            <w:r>
              <w:t>‘Public art and sculptures’</w:t>
            </w:r>
          </w:p>
          <w:p w14:paraId="6A9C718F" w14:textId="11623C04" w:rsidR="002E5D6B" w:rsidRDefault="002E5D6B" w:rsidP="00904A65">
            <w:r>
              <w:t xml:space="preserve">‘Houses of historical value’ </w:t>
            </w:r>
          </w:p>
        </w:tc>
        <w:tc>
          <w:tcPr>
            <w:tcW w:w="3402" w:type="dxa"/>
          </w:tcPr>
          <w:p w14:paraId="06B65EFA" w14:textId="77777777" w:rsidR="00CF36F1" w:rsidRDefault="00CF36F1" w:rsidP="00CF36F1">
            <w:r>
              <w:t xml:space="preserve">These observations suggest a landscape-scale perspective, where buildings and attributes are valued as part of a larger place (or as a feature of the landscape), rather than in isolation.  </w:t>
            </w:r>
          </w:p>
          <w:p w14:paraId="13E892D6" w14:textId="58457549" w:rsidR="008E6740" w:rsidRPr="00C440CD" w:rsidRDefault="00CF36F1" w:rsidP="00CF36F1">
            <w:r>
              <w:t>This response reflects a non-judgemental inclusiveness in thinking about ‘place’ as compared to the traditional approach to heritage studies, where technical specialists give weight to the merits of individual buildings, and to sections of historic streetscapes that are considered to have a high degree of historical and/or physical cohesion.  The traditional approach is also supported by the relevant Planning Practice Note (PPN01) which prescribes the manner in which such studies should be undertaken</w:t>
            </w:r>
            <w:r w:rsidR="00B93F7C">
              <w:t xml:space="preserve">. </w:t>
            </w:r>
          </w:p>
        </w:tc>
      </w:tr>
      <w:tr w:rsidR="003D686D" w14:paraId="60DB8A4C" w14:textId="77777777" w:rsidTr="009B0C0B">
        <w:tc>
          <w:tcPr>
            <w:tcW w:w="2263" w:type="dxa"/>
          </w:tcPr>
          <w:p w14:paraId="6FF379C1" w14:textId="77777777" w:rsidR="00B93F7C" w:rsidRDefault="003D686D" w:rsidP="00B93F7C">
            <w:r w:rsidRPr="00DD6446">
              <w:t>Places that are subject to heritage controls, through site specific HOs or as part of a</w:t>
            </w:r>
            <w:r>
              <w:t xml:space="preserve">n </w:t>
            </w:r>
            <w:r w:rsidRPr="00DD6446">
              <w:t>HO precinct</w:t>
            </w:r>
            <w:r>
              <w:t xml:space="preserve"> – </w:t>
            </w:r>
            <w:r w:rsidR="00B93F7C">
              <w:t xml:space="preserve">c. 210 of 300 responses </w:t>
            </w:r>
          </w:p>
          <w:p w14:paraId="63CE4A6A" w14:textId="253B5332" w:rsidR="003D686D" w:rsidRPr="00DD6446" w:rsidRDefault="003D686D" w:rsidP="00904A65">
            <w:pPr>
              <w:pStyle w:val="list1"/>
              <w:numPr>
                <w:ilvl w:val="0"/>
                <w:numId w:val="0"/>
              </w:numPr>
            </w:pPr>
          </w:p>
        </w:tc>
        <w:tc>
          <w:tcPr>
            <w:tcW w:w="2835" w:type="dxa"/>
          </w:tcPr>
          <w:p w14:paraId="7C09A1A4" w14:textId="742E4087" w:rsidR="003D686D" w:rsidRDefault="003D686D" w:rsidP="00904A65">
            <w:r w:rsidRPr="00FE2BA7">
              <w:rPr>
                <w:i/>
              </w:rPr>
              <w:t>Landmarks</w:t>
            </w:r>
            <w:r w:rsidR="006A4C59">
              <w:rPr>
                <w:i/>
              </w:rPr>
              <w:t xml:space="preserve">: </w:t>
            </w:r>
            <w:r w:rsidR="006A4C59" w:rsidRPr="006A4C59">
              <w:t>x1</w:t>
            </w:r>
            <w:r w:rsidR="00982181">
              <w:t>8</w:t>
            </w:r>
            <w:r w:rsidR="006A4C59" w:rsidRPr="006A4C59">
              <w:t xml:space="preserve"> identified</w:t>
            </w:r>
            <w:r w:rsidR="00EB3407">
              <w:t xml:space="preserve"> </w:t>
            </w:r>
            <w:r w:rsidR="009311BD">
              <w:t xml:space="preserve">with controls </w:t>
            </w:r>
            <w:r w:rsidR="006A4C59" w:rsidRPr="006A4C59">
              <w:t xml:space="preserve">including </w:t>
            </w:r>
            <w:r w:rsidRPr="006A4C59">
              <w:t>Luna Park, Palais Theatre</w:t>
            </w:r>
            <w:r w:rsidR="006A4C59" w:rsidRPr="006A4C59">
              <w:t xml:space="preserve"> and </w:t>
            </w:r>
            <w:r w:rsidRPr="006A4C59">
              <w:t>St Kilda Pier</w:t>
            </w:r>
          </w:p>
          <w:p w14:paraId="188B0851" w14:textId="052F932C" w:rsidR="003D686D" w:rsidRDefault="003D686D" w:rsidP="00904A65">
            <w:r w:rsidRPr="00FE2BA7">
              <w:rPr>
                <w:i/>
              </w:rPr>
              <w:t>Civic buildings</w:t>
            </w:r>
            <w:r w:rsidR="006A4C59">
              <w:rPr>
                <w:i/>
              </w:rPr>
              <w:t xml:space="preserve">: </w:t>
            </w:r>
            <w:r w:rsidR="006A4C59" w:rsidRPr="006A4C59">
              <w:t>x1</w:t>
            </w:r>
            <w:r w:rsidR="006A4C59">
              <w:t xml:space="preserve">1 </w:t>
            </w:r>
            <w:r w:rsidR="006A4C59" w:rsidRPr="006A4C59">
              <w:t xml:space="preserve">identified </w:t>
            </w:r>
            <w:r w:rsidR="006A4C59">
              <w:t>including town halls, post offices</w:t>
            </w:r>
            <w:r w:rsidR="00EA3EA9">
              <w:t xml:space="preserve"> and a fire station</w:t>
            </w:r>
          </w:p>
          <w:p w14:paraId="28CAC918" w14:textId="44DAA839" w:rsidR="003D686D" w:rsidRDefault="003D686D" w:rsidP="00904A65">
            <w:r w:rsidRPr="00FE2BA7">
              <w:rPr>
                <w:i/>
              </w:rPr>
              <w:t>Places of entertainment</w:t>
            </w:r>
            <w:r w:rsidR="00875F31">
              <w:rPr>
                <w:i/>
              </w:rPr>
              <w:t xml:space="preserve">: </w:t>
            </w:r>
            <w:r w:rsidR="00875F31" w:rsidRPr="006A4C59">
              <w:t>x</w:t>
            </w:r>
            <w:r w:rsidR="00875F31">
              <w:t>8</w:t>
            </w:r>
            <w:r w:rsidR="00875F31" w:rsidRPr="006A4C59">
              <w:t xml:space="preserve"> identified</w:t>
            </w:r>
          </w:p>
          <w:p w14:paraId="4F14C0F5" w14:textId="0AFE3691" w:rsidR="00EA3EA9" w:rsidRDefault="003D686D" w:rsidP="00904A65">
            <w:pPr>
              <w:rPr>
                <w:i/>
              </w:rPr>
            </w:pPr>
            <w:r w:rsidRPr="00FE2BA7">
              <w:rPr>
                <w:i/>
              </w:rPr>
              <w:t>Historic retail strips</w:t>
            </w:r>
            <w:r w:rsidR="00EA3EA9">
              <w:rPr>
                <w:i/>
              </w:rPr>
              <w:t xml:space="preserve">: </w:t>
            </w:r>
            <w:r w:rsidR="00EA3EA9" w:rsidRPr="006A4C59">
              <w:t>x</w:t>
            </w:r>
            <w:r w:rsidR="0010231B">
              <w:t>18</w:t>
            </w:r>
            <w:r w:rsidR="00EA3EA9">
              <w:t xml:space="preserve"> </w:t>
            </w:r>
            <w:r w:rsidR="00EA3EA9" w:rsidRPr="006A4C59">
              <w:t>identified</w:t>
            </w:r>
          </w:p>
          <w:p w14:paraId="2A0E2B81" w14:textId="41087AEB" w:rsidR="00EA3EA9" w:rsidRDefault="003D686D" w:rsidP="00EA3EA9">
            <w:pPr>
              <w:rPr>
                <w:i/>
              </w:rPr>
            </w:pPr>
            <w:r w:rsidRPr="00FE2BA7">
              <w:rPr>
                <w:i/>
              </w:rPr>
              <w:t>Memorial sites</w:t>
            </w:r>
            <w:r w:rsidR="00EA3EA9">
              <w:rPr>
                <w:i/>
              </w:rPr>
              <w:t xml:space="preserve">: </w:t>
            </w:r>
            <w:r w:rsidR="00EA3EA9" w:rsidRPr="006A4C59">
              <w:t>x</w:t>
            </w:r>
            <w:r w:rsidR="0010231B">
              <w:t>21 i</w:t>
            </w:r>
            <w:r w:rsidR="00EA3EA9" w:rsidRPr="006A4C59">
              <w:t>dentified</w:t>
            </w:r>
          </w:p>
          <w:p w14:paraId="5E4C4995" w14:textId="4BE8C00B" w:rsidR="003D686D" w:rsidRDefault="003D686D" w:rsidP="00904A65">
            <w:r w:rsidRPr="00FE2BA7">
              <w:rPr>
                <w:i/>
              </w:rPr>
              <w:t>Public parks</w:t>
            </w:r>
            <w:r w:rsidR="00EA3EA9">
              <w:rPr>
                <w:i/>
              </w:rPr>
              <w:t xml:space="preserve"> and </w:t>
            </w:r>
            <w:r w:rsidRPr="00FE2BA7">
              <w:rPr>
                <w:i/>
              </w:rPr>
              <w:t>gardens</w:t>
            </w:r>
            <w:r w:rsidR="00EA3EA9">
              <w:rPr>
                <w:i/>
              </w:rPr>
              <w:t xml:space="preserve">: </w:t>
            </w:r>
            <w:r w:rsidR="00EA3EA9" w:rsidRPr="006A4C59">
              <w:t>x</w:t>
            </w:r>
            <w:r w:rsidR="0010231B">
              <w:t xml:space="preserve">26 </w:t>
            </w:r>
            <w:r w:rsidR="00EA3EA9" w:rsidRPr="006A4C59">
              <w:t>identified</w:t>
            </w:r>
          </w:p>
          <w:p w14:paraId="2831071C" w14:textId="0FF8BF48" w:rsidR="00B7204C" w:rsidRDefault="00B7204C" w:rsidP="00904A65">
            <w:pPr>
              <w:rPr>
                <w:rFonts w:ascii="Calibri" w:hAnsi="Calibri"/>
                <w:color w:val="000000"/>
                <w:lang w:eastAsia="en-AU"/>
              </w:rPr>
            </w:pPr>
            <w:r w:rsidRPr="006A4C59">
              <w:rPr>
                <w:i/>
              </w:rPr>
              <w:t>Historic hotel</w:t>
            </w:r>
            <w:r w:rsidR="006A4C59">
              <w:rPr>
                <w:i/>
              </w:rPr>
              <w:t xml:space="preserve">s: </w:t>
            </w:r>
            <w:r w:rsidR="0010231B">
              <w:t xml:space="preserve">x17 </w:t>
            </w:r>
            <w:r w:rsidR="006A4C59" w:rsidRPr="006A4C59">
              <w:t>identified, including</w:t>
            </w:r>
            <w:r w:rsidR="00EA3EA9">
              <w:t xml:space="preserve"> the </w:t>
            </w:r>
            <w:r w:rsidRPr="006A4C59">
              <w:t xml:space="preserve">Prince of Wales, </w:t>
            </w:r>
            <w:r w:rsidR="006A4C59" w:rsidRPr="000F4630">
              <w:rPr>
                <w:rFonts w:ascii="Calibri" w:hAnsi="Calibri"/>
                <w:color w:val="000000"/>
                <w:lang w:eastAsia="en-AU"/>
              </w:rPr>
              <w:t>Greyhound Hotel</w:t>
            </w:r>
            <w:r w:rsidR="006A4C59" w:rsidRPr="006A4C59">
              <w:rPr>
                <w:rFonts w:ascii="Calibri" w:hAnsi="Calibri"/>
                <w:color w:val="000000"/>
                <w:lang w:eastAsia="en-AU"/>
              </w:rPr>
              <w:t xml:space="preserve">, </w:t>
            </w:r>
            <w:r w:rsidR="006A4C59" w:rsidRPr="000F4630">
              <w:rPr>
                <w:rFonts w:ascii="Calibri" w:hAnsi="Calibri"/>
                <w:color w:val="000000"/>
                <w:lang w:eastAsia="en-AU"/>
              </w:rPr>
              <w:t xml:space="preserve">Elsternwick </w:t>
            </w:r>
            <w:r w:rsidR="006A4C59" w:rsidRPr="000F4630">
              <w:rPr>
                <w:rFonts w:ascii="Calibri" w:hAnsi="Calibri"/>
                <w:color w:val="000000"/>
                <w:lang w:eastAsia="en-AU"/>
              </w:rPr>
              <w:lastRenderedPageBreak/>
              <w:t>Hotel</w:t>
            </w:r>
            <w:r w:rsidR="006A4C59" w:rsidRPr="006A4C59">
              <w:rPr>
                <w:rFonts w:ascii="Calibri" w:hAnsi="Calibri"/>
                <w:color w:val="000000"/>
                <w:lang w:eastAsia="en-AU"/>
              </w:rPr>
              <w:t xml:space="preserve">, </w:t>
            </w:r>
            <w:r w:rsidR="006A4C59" w:rsidRPr="000F4630">
              <w:rPr>
                <w:rFonts w:ascii="Calibri" w:hAnsi="Calibri"/>
                <w:color w:val="000000"/>
                <w:lang w:eastAsia="en-AU"/>
              </w:rPr>
              <w:t>Middle Park Hotel</w:t>
            </w:r>
            <w:r w:rsidR="006A4C59">
              <w:rPr>
                <w:rFonts w:ascii="Calibri" w:hAnsi="Calibri"/>
                <w:color w:val="000000"/>
                <w:lang w:eastAsia="en-AU"/>
              </w:rPr>
              <w:t xml:space="preserve">, </w:t>
            </w:r>
            <w:r w:rsidR="006A4C59" w:rsidRPr="000F4630">
              <w:rPr>
                <w:rFonts w:ascii="Calibri" w:hAnsi="Calibri"/>
                <w:color w:val="000000"/>
                <w:lang w:eastAsia="en-AU"/>
              </w:rPr>
              <w:t>The Biltmore Hote</w:t>
            </w:r>
            <w:r w:rsidR="006A4C59">
              <w:rPr>
                <w:rFonts w:ascii="Calibri" w:hAnsi="Calibri"/>
                <w:color w:val="000000"/>
                <w:lang w:eastAsia="en-AU"/>
              </w:rPr>
              <w:t xml:space="preserve">l, </w:t>
            </w:r>
            <w:r w:rsidR="006A4C59" w:rsidRPr="000F4630">
              <w:rPr>
                <w:rFonts w:ascii="Calibri" w:hAnsi="Calibri"/>
                <w:color w:val="000000"/>
                <w:lang w:eastAsia="en-AU"/>
              </w:rPr>
              <w:t>Village Belle Hote</w:t>
            </w:r>
            <w:r w:rsidR="006A4C59">
              <w:rPr>
                <w:rFonts w:ascii="Calibri" w:hAnsi="Calibri"/>
                <w:color w:val="000000"/>
                <w:lang w:eastAsia="en-AU"/>
              </w:rPr>
              <w:t>l</w:t>
            </w:r>
            <w:r w:rsidR="00EA3EA9">
              <w:rPr>
                <w:rFonts w:ascii="Calibri" w:hAnsi="Calibri"/>
                <w:color w:val="000000"/>
                <w:lang w:eastAsia="en-AU"/>
              </w:rPr>
              <w:t xml:space="preserve"> and </w:t>
            </w:r>
            <w:r w:rsidR="006A4C59" w:rsidRPr="000F4630">
              <w:rPr>
                <w:rFonts w:ascii="Calibri" w:hAnsi="Calibri"/>
                <w:color w:val="000000"/>
                <w:lang w:eastAsia="en-AU"/>
              </w:rPr>
              <w:t>Balaclava Hotel</w:t>
            </w:r>
            <w:r w:rsidR="00EA3EA9">
              <w:rPr>
                <w:rFonts w:ascii="Calibri" w:hAnsi="Calibri"/>
                <w:color w:val="000000"/>
                <w:lang w:eastAsia="en-AU"/>
              </w:rPr>
              <w:t xml:space="preserve">.  </w:t>
            </w:r>
          </w:p>
          <w:p w14:paraId="7BEA93B6" w14:textId="0D9CA826" w:rsidR="00F8466D" w:rsidRDefault="00F8466D" w:rsidP="00F8466D">
            <w:r w:rsidRPr="00F8466D">
              <w:rPr>
                <w:i/>
              </w:rPr>
              <w:t>Places of worship:</w:t>
            </w:r>
            <w:r>
              <w:t xml:space="preserve"> x18 identified</w:t>
            </w:r>
          </w:p>
          <w:p w14:paraId="7131A573" w14:textId="1C7085C9" w:rsidR="00F8466D" w:rsidRDefault="00F8466D" w:rsidP="00F8466D">
            <w:r w:rsidRPr="00F8466D">
              <w:rPr>
                <w:i/>
              </w:rPr>
              <w:t>Places of communal interaction:</w:t>
            </w:r>
            <w:r w:rsidR="0010231B">
              <w:t xml:space="preserve"> x7</w:t>
            </w:r>
            <w:r>
              <w:t xml:space="preserve"> identified </w:t>
            </w:r>
          </w:p>
          <w:p w14:paraId="18A52231" w14:textId="0D51F936" w:rsidR="00F8466D" w:rsidRDefault="00F8466D" w:rsidP="00F8466D">
            <w:r w:rsidRPr="00F8466D">
              <w:rPr>
                <w:i/>
              </w:rPr>
              <w:t>Community facilities</w:t>
            </w:r>
            <w:r>
              <w:t>: x27 identified</w:t>
            </w:r>
          </w:p>
          <w:p w14:paraId="121D7D8E" w14:textId="7DA961F2" w:rsidR="00F8466D" w:rsidRPr="00030887" w:rsidRDefault="00F8466D" w:rsidP="00F8466D">
            <w:r w:rsidRPr="00F8466D">
              <w:rPr>
                <w:i/>
              </w:rPr>
              <w:t>Places and practices of value to Traditional Owner groups:</w:t>
            </w:r>
            <w:r>
              <w:t xml:space="preserve"> x2 identified </w:t>
            </w:r>
          </w:p>
          <w:p w14:paraId="10667C91" w14:textId="25667560" w:rsidR="00F8466D" w:rsidRPr="00030887" w:rsidRDefault="00F8466D" w:rsidP="00F8466D">
            <w:r w:rsidRPr="009311BD">
              <w:rPr>
                <w:i/>
              </w:rPr>
              <w:t>Sport and recreation clubs:</w:t>
            </w:r>
            <w:r>
              <w:t xml:space="preserve"> x</w:t>
            </w:r>
            <w:r w:rsidR="0010231B">
              <w:t>6</w:t>
            </w:r>
            <w:r>
              <w:t xml:space="preserve"> identified </w:t>
            </w:r>
          </w:p>
          <w:p w14:paraId="46C58132" w14:textId="76E25002" w:rsidR="00F8466D" w:rsidRPr="00030887" w:rsidRDefault="00F8466D" w:rsidP="00F8466D">
            <w:r w:rsidRPr="009311BD">
              <w:rPr>
                <w:i/>
              </w:rPr>
              <w:t>Residential buildings</w:t>
            </w:r>
            <w:r w:rsidR="009311BD">
              <w:t xml:space="preserve">: x5 identified </w:t>
            </w:r>
          </w:p>
          <w:p w14:paraId="21FA2FAF" w14:textId="688F69B5" w:rsidR="00F8466D" w:rsidRPr="00030887" w:rsidRDefault="00F8466D" w:rsidP="00F8466D">
            <w:r w:rsidRPr="00F8466D">
              <w:rPr>
                <w:i/>
              </w:rPr>
              <w:t>Bars /restaurants:</w:t>
            </w:r>
            <w:r>
              <w:t xml:space="preserve"> x</w:t>
            </w:r>
            <w:r w:rsidR="0010231B">
              <w:t xml:space="preserve">27 </w:t>
            </w:r>
            <w:r>
              <w:t xml:space="preserve">identified </w:t>
            </w:r>
          </w:p>
          <w:p w14:paraId="16042238" w14:textId="54C26ADD" w:rsidR="00F8466D" w:rsidRPr="00030887" w:rsidRDefault="00F8466D" w:rsidP="00F8466D">
            <w:r w:rsidRPr="00F8466D">
              <w:rPr>
                <w:i/>
              </w:rPr>
              <w:t>Industrial heritage</w:t>
            </w:r>
            <w:r>
              <w:t>: x</w:t>
            </w:r>
            <w:r w:rsidR="0010231B">
              <w:t>5</w:t>
            </w:r>
            <w:r w:rsidR="009311BD">
              <w:t xml:space="preserve"> </w:t>
            </w:r>
            <w:r>
              <w:t>identified</w:t>
            </w:r>
          </w:p>
          <w:p w14:paraId="743709AF" w14:textId="757B245A" w:rsidR="00F8466D" w:rsidRPr="00F8466D" w:rsidRDefault="00F8466D" w:rsidP="00F8466D">
            <w:r w:rsidRPr="009B0C0B">
              <w:rPr>
                <w:i/>
              </w:rPr>
              <w:t>Retail premises</w:t>
            </w:r>
            <w:r>
              <w:t xml:space="preserve">: x </w:t>
            </w:r>
            <w:r w:rsidR="0010231B">
              <w:t>2</w:t>
            </w:r>
            <w:r w:rsidR="00EB3407">
              <w:t xml:space="preserve"> </w:t>
            </w:r>
            <w:r>
              <w:t>identified</w:t>
            </w:r>
          </w:p>
        </w:tc>
        <w:tc>
          <w:tcPr>
            <w:tcW w:w="3402" w:type="dxa"/>
          </w:tcPr>
          <w:p w14:paraId="67B13543" w14:textId="235BB8A7" w:rsidR="00E95CEA" w:rsidRDefault="003D686D" w:rsidP="00904A65">
            <w:r>
              <w:lastRenderedPageBreak/>
              <w:t xml:space="preserve">Relatively few examples of the building typologies perceived as gaps in the PPHR (post-war places, industrial places and flats) were revealed through the consultation.  </w:t>
            </w:r>
            <w:r w:rsidR="00E95CEA">
              <w:t xml:space="preserve">Instead, the gap revealed by the campaign is the distinction between the reasons why community groups value places and the reasons why they are subject to controls under the Planning Scheme.  The architectural/aesthetic and historical emphasis of the heritage studies that underpin the PPHR is limited in recognising the communal/personal attachment/sentiment that arises for places as part of their everyday life … </w:t>
            </w:r>
          </w:p>
          <w:p w14:paraId="63E176DE" w14:textId="77777777" w:rsidR="00CF36F1" w:rsidRDefault="00CF36F1" w:rsidP="00CF36F1">
            <w:r>
              <w:lastRenderedPageBreak/>
              <w:t>An example of this disconnect is the Prince (of Wales) Hotel, 2 Acland Street, St Kilda, a ‘significant’ place within HO5.  The Statement of Significance (1992) reads:</w:t>
            </w:r>
          </w:p>
          <w:p w14:paraId="07C751C2" w14:textId="17973500" w:rsidR="003D686D" w:rsidRPr="00C26709" w:rsidRDefault="003D686D" w:rsidP="009311BD">
            <w:pPr>
              <w:ind w:left="311" w:right="321"/>
              <w:rPr>
                <w:i/>
              </w:rPr>
            </w:pPr>
            <w:r w:rsidRPr="00C26709">
              <w:rPr>
                <w:i/>
              </w:rPr>
              <w:t>A representative example of a Modernist streamlined hotel design, primarily of significance as one of an important series of residential hotels and guest houses in Fitzroy Street, and as one of the ‘bookends’ to the café and retail strip on the north side of Fitzroy Street.  The hotel has been a significant social landmark in its various forms since the nineteenth century and has important historical associations as the wartime headquarters for American officers and as an entertainment venue.</w:t>
            </w:r>
          </w:p>
          <w:p w14:paraId="049846AA" w14:textId="6DBFD5E4" w:rsidR="00E95CEA" w:rsidRPr="003C6F98" w:rsidRDefault="003D686D" w:rsidP="00152C50">
            <w:r>
              <w:t xml:space="preserve">The ‘Prince’ is also </w:t>
            </w:r>
            <w:r w:rsidR="009B0C0B">
              <w:t>one of the longest-standing gay-</w:t>
            </w:r>
            <w:r>
              <w:t xml:space="preserve">friendly hotels in Melbourne and a place of significance to the </w:t>
            </w:r>
            <w:r w:rsidRPr="004D3848">
              <w:t>LGBTQI community</w:t>
            </w:r>
            <w:r>
              <w:t xml:space="preserve">.  </w:t>
            </w:r>
          </w:p>
        </w:tc>
      </w:tr>
      <w:tr w:rsidR="009751A8" w14:paraId="6B9CB33D" w14:textId="77777777" w:rsidTr="009B0C0B">
        <w:tc>
          <w:tcPr>
            <w:tcW w:w="2263" w:type="dxa"/>
          </w:tcPr>
          <w:p w14:paraId="758F7C83" w14:textId="1AC4F97B" w:rsidR="009751A8" w:rsidRDefault="009751A8" w:rsidP="007642A1">
            <w:r w:rsidRPr="00DD6446">
              <w:lastRenderedPageBreak/>
              <w:t>Places that are not subject to heritage controls</w:t>
            </w:r>
            <w:r w:rsidR="001A1AEA">
              <w:t xml:space="preserve"> – </w:t>
            </w:r>
          </w:p>
          <w:p w14:paraId="0AF7B22F" w14:textId="737D7121" w:rsidR="002D6193" w:rsidRPr="00DD6446" w:rsidRDefault="00380B94" w:rsidP="007642A1">
            <w:r>
              <w:t xml:space="preserve">See also </w:t>
            </w:r>
            <w:r w:rsidR="001A1AEA">
              <w:t xml:space="preserve">below. </w:t>
            </w:r>
          </w:p>
        </w:tc>
        <w:tc>
          <w:tcPr>
            <w:tcW w:w="2835" w:type="dxa"/>
          </w:tcPr>
          <w:p w14:paraId="5CB1958D" w14:textId="649D6F74" w:rsidR="00D5705D" w:rsidRDefault="00D5705D" w:rsidP="00D5705D">
            <w:pPr>
              <w:rPr>
                <w:i/>
              </w:rPr>
            </w:pPr>
            <w:r>
              <w:rPr>
                <w:i/>
              </w:rPr>
              <w:t xml:space="preserve">Cultural landscapes: </w:t>
            </w:r>
            <w:r w:rsidRPr="006A4C59">
              <w:t>x</w:t>
            </w:r>
            <w:r>
              <w:t xml:space="preserve">11 </w:t>
            </w:r>
            <w:r w:rsidRPr="006A4C59">
              <w:t>identified</w:t>
            </w:r>
            <w:r w:rsidR="00136E3D">
              <w:t xml:space="preserve"> without formal heritage controls</w:t>
            </w:r>
            <w:r>
              <w:t>, including ‘Beach Road and vistas’, ‘</w:t>
            </w:r>
            <w:r w:rsidR="00136E3D">
              <w:t xml:space="preserve">[the] </w:t>
            </w:r>
            <w:r>
              <w:t>Jewish heritage of the St Kilda area’ and various beaches</w:t>
            </w:r>
          </w:p>
          <w:p w14:paraId="5B7B7A9B" w14:textId="43D42677" w:rsidR="009751A8" w:rsidRDefault="009751A8" w:rsidP="007642A1">
            <w:r w:rsidRPr="00FE2BA7">
              <w:rPr>
                <w:i/>
              </w:rPr>
              <w:t>Public parks, gardens and beaches</w:t>
            </w:r>
            <w:r w:rsidR="001A1AEA">
              <w:rPr>
                <w:i/>
              </w:rPr>
              <w:t xml:space="preserve">: </w:t>
            </w:r>
            <w:r w:rsidR="001A1AEA" w:rsidRPr="006A4C59">
              <w:t>x</w:t>
            </w:r>
            <w:r w:rsidR="009F51CA">
              <w:t xml:space="preserve">9 </w:t>
            </w:r>
            <w:r w:rsidR="001A1AEA" w:rsidRPr="006A4C59">
              <w:t>identified</w:t>
            </w:r>
            <w:r w:rsidR="001A1AEA">
              <w:t>, including H</w:t>
            </w:r>
            <w:r>
              <w:t>ewison Reserve, Plum Garland Park and Playground</w:t>
            </w:r>
            <w:r w:rsidR="001A1AEA">
              <w:t xml:space="preserve"> and </w:t>
            </w:r>
            <w:r w:rsidR="00136E3D">
              <w:t xml:space="preserve">the </w:t>
            </w:r>
            <w:r w:rsidR="001A1AEA">
              <w:t xml:space="preserve">Crockford </w:t>
            </w:r>
            <w:r w:rsidR="000C6C7D">
              <w:t>Street Reserve</w:t>
            </w:r>
          </w:p>
          <w:p w14:paraId="5524ACF0" w14:textId="3B42723D" w:rsidR="000C6C7D" w:rsidRPr="000C6C7D" w:rsidRDefault="000C6C7D" w:rsidP="007642A1">
            <w:r w:rsidRPr="00F8466D">
              <w:rPr>
                <w:i/>
              </w:rPr>
              <w:t>Places of communal interaction:</w:t>
            </w:r>
            <w:r w:rsidR="00136E3D">
              <w:t xml:space="preserve"> x4 identified, including Veg Out community gardens and the St Kilda Farmer’s Market</w:t>
            </w:r>
          </w:p>
          <w:p w14:paraId="18911187" w14:textId="6E1B9B5B" w:rsidR="000C6C7D" w:rsidRDefault="009751A8" w:rsidP="007642A1">
            <w:r w:rsidRPr="00FE2BA7">
              <w:rPr>
                <w:i/>
              </w:rPr>
              <w:t>Community facilities</w:t>
            </w:r>
            <w:r w:rsidR="000C6C7D">
              <w:rPr>
                <w:i/>
              </w:rPr>
              <w:t xml:space="preserve">: </w:t>
            </w:r>
            <w:r w:rsidR="000C6C7D" w:rsidRPr="006A4C59">
              <w:t>x</w:t>
            </w:r>
            <w:r w:rsidR="009F51CA">
              <w:t xml:space="preserve">3 </w:t>
            </w:r>
            <w:r w:rsidR="000C6C7D" w:rsidRPr="006A4C59">
              <w:t>identified</w:t>
            </w:r>
            <w:r w:rsidR="0028450C">
              <w:t xml:space="preserve"> including St Kilda Marina and the Elwood Scout Hall </w:t>
            </w:r>
          </w:p>
          <w:p w14:paraId="44B024BD" w14:textId="4F471285" w:rsidR="009751A8" w:rsidRDefault="009751A8" w:rsidP="007642A1">
            <w:r w:rsidRPr="00FE2BA7">
              <w:rPr>
                <w:i/>
              </w:rPr>
              <w:t>Bars/restaurants</w:t>
            </w:r>
            <w:r w:rsidR="0028450C">
              <w:rPr>
                <w:i/>
              </w:rPr>
              <w:t xml:space="preserve">: </w:t>
            </w:r>
            <w:r w:rsidR="0028450C" w:rsidRPr="006A4C59">
              <w:t>x</w:t>
            </w:r>
            <w:r w:rsidR="009F51CA">
              <w:t xml:space="preserve">5 </w:t>
            </w:r>
            <w:r w:rsidR="0028450C" w:rsidRPr="006A4C59">
              <w:t>identified</w:t>
            </w:r>
            <w:r w:rsidR="0028450C">
              <w:t xml:space="preserve"> </w:t>
            </w:r>
          </w:p>
        </w:tc>
        <w:tc>
          <w:tcPr>
            <w:tcW w:w="3402" w:type="dxa"/>
          </w:tcPr>
          <w:p w14:paraId="2D5A20FD" w14:textId="77777777" w:rsidR="00247B12" w:rsidRDefault="00136E3D" w:rsidP="00247B12">
            <w:r>
              <w:t xml:space="preserve">Amenity value (use by the current community) is a widely-applied reason for popular </w:t>
            </w:r>
            <w:r w:rsidR="00D5705D">
              <w:t xml:space="preserve">sentiment as related to </w:t>
            </w:r>
            <w:r>
              <w:t>places without formal heritage controls</w:t>
            </w:r>
            <w:r w:rsidR="00F7381F">
              <w:t xml:space="preserve">.  </w:t>
            </w:r>
            <w:r w:rsidR="00247B12">
              <w:t xml:space="preserve">That value may reside in the physical attributes of a place and the experience of that place, but equally it may rely on use or activity. </w:t>
            </w:r>
          </w:p>
          <w:p w14:paraId="347E47FE" w14:textId="666F4C1D" w:rsidR="00F7381F" w:rsidRDefault="00247B12" w:rsidP="00F7381F">
            <w:r>
              <w:t xml:space="preserve">It is the management of use or activity which is challenging within the conventional heritage framework as the thing to be managed is not physical. </w:t>
            </w:r>
          </w:p>
        </w:tc>
      </w:tr>
      <w:tr w:rsidR="003D686D" w14:paraId="36711B12" w14:textId="77777777" w:rsidTr="009B0C0B">
        <w:tc>
          <w:tcPr>
            <w:tcW w:w="2263" w:type="dxa"/>
          </w:tcPr>
          <w:p w14:paraId="4B68A039" w14:textId="26DD81B0" w:rsidR="003D686D" w:rsidRPr="00DD6446" w:rsidRDefault="003D686D" w:rsidP="00904A65">
            <w:r w:rsidRPr="00DD6446">
              <w:lastRenderedPageBreak/>
              <w:t xml:space="preserve">Places that have been demolished </w:t>
            </w:r>
            <w:r>
              <w:t xml:space="preserve">or partially demolished </w:t>
            </w:r>
          </w:p>
        </w:tc>
        <w:tc>
          <w:tcPr>
            <w:tcW w:w="2835" w:type="dxa"/>
          </w:tcPr>
          <w:p w14:paraId="7AEE4001" w14:textId="77777777" w:rsidR="00136E3D" w:rsidRDefault="00136E3D" w:rsidP="00904A65">
            <w:r>
              <w:t xml:space="preserve">Specifically: </w:t>
            </w:r>
          </w:p>
          <w:p w14:paraId="02000D8F" w14:textId="77777777" w:rsidR="00136E3D" w:rsidRDefault="003D686D" w:rsidP="00387A20">
            <w:pPr>
              <w:pStyle w:val="ListParagraph"/>
              <w:numPr>
                <w:ilvl w:val="0"/>
                <w:numId w:val="8"/>
              </w:numPr>
            </w:pPr>
            <w:r>
              <w:t>Brook</w:t>
            </w:r>
            <w:r w:rsidR="00136E3D">
              <w:t>es Jetty (partially demolished, through the</w:t>
            </w:r>
            <w:r>
              <w:t xml:space="preserve"> removal of timber superstructure above the outfall drain)</w:t>
            </w:r>
          </w:p>
          <w:p w14:paraId="6192659E" w14:textId="77777777" w:rsidR="00136E3D" w:rsidRDefault="003D686D" w:rsidP="00387A20">
            <w:pPr>
              <w:pStyle w:val="ListParagraph"/>
              <w:numPr>
                <w:ilvl w:val="0"/>
                <w:numId w:val="8"/>
              </w:numPr>
            </w:pPr>
            <w:r>
              <w:t>London Hotel</w:t>
            </w:r>
          </w:p>
          <w:p w14:paraId="2F36F3C6" w14:textId="74BF14EB" w:rsidR="003D686D" w:rsidRDefault="003D686D" w:rsidP="00387A20">
            <w:pPr>
              <w:pStyle w:val="ListParagraph"/>
              <w:numPr>
                <w:ilvl w:val="0"/>
                <w:numId w:val="8"/>
              </w:numPr>
            </w:pPr>
            <w:r>
              <w:t>Greyhound Hotel</w:t>
            </w:r>
          </w:p>
        </w:tc>
        <w:tc>
          <w:tcPr>
            <w:tcW w:w="3402" w:type="dxa"/>
          </w:tcPr>
          <w:p w14:paraId="6A32B5B0" w14:textId="56E65342" w:rsidR="003D686D" w:rsidRDefault="003D686D" w:rsidP="00904A65">
            <w:r>
              <w:t>The three places have been demolished, in part or totally, within the past three years and were the subject of community campaigns.</w:t>
            </w:r>
            <w:r w:rsidR="00136E3D">
              <w:t xml:space="preserve">  Valued p</w:t>
            </w:r>
            <w:r w:rsidR="00955216">
              <w:t xml:space="preserve">laces </w:t>
            </w:r>
            <w:r w:rsidR="00136E3D">
              <w:t xml:space="preserve">that were demolished in the more distant past were not identified. </w:t>
            </w:r>
          </w:p>
        </w:tc>
      </w:tr>
      <w:tr w:rsidR="009751A8" w14:paraId="3AD717FC" w14:textId="77777777" w:rsidTr="009B0C0B">
        <w:tc>
          <w:tcPr>
            <w:tcW w:w="2263" w:type="dxa"/>
          </w:tcPr>
          <w:p w14:paraId="75950E70" w14:textId="56E95784" w:rsidR="009751A8" w:rsidRPr="00DD6446" w:rsidRDefault="009751A8" w:rsidP="007642A1">
            <w:r w:rsidRPr="00DD6446">
              <w:t>Attributes that</w:t>
            </w:r>
            <w:r w:rsidR="00136E3D">
              <w:t xml:space="preserve"> are not buildings or places </w:t>
            </w:r>
          </w:p>
        </w:tc>
        <w:tc>
          <w:tcPr>
            <w:tcW w:w="2835" w:type="dxa"/>
          </w:tcPr>
          <w:p w14:paraId="114A9D3D" w14:textId="2FCD1FBF" w:rsidR="009751A8" w:rsidRDefault="00136E3D" w:rsidP="007642A1">
            <w:r>
              <w:t>Examples include: h</w:t>
            </w:r>
            <w:r w:rsidR="009751A8">
              <w:t>eritage plaques</w:t>
            </w:r>
            <w:r>
              <w:t xml:space="preserve"> (interpretation)</w:t>
            </w:r>
            <w:r w:rsidR="00DD5852">
              <w:t xml:space="preserve">; </w:t>
            </w:r>
            <w:r>
              <w:t xml:space="preserve">a public </w:t>
            </w:r>
            <w:r w:rsidR="00DD5852">
              <w:t>t</w:t>
            </w:r>
            <w:r w:rsidR="009751A8">
              <w:t>able tennis table</w:t>
            </w:r>
            <w:r>
              <w:t xml:space="preserve">; </w:t>
            </w:r>
            <w:r w:rsidR="00DD5852">
              <w:t>e</w:t>
            </w:r>
            <w:r w:rsidR="009751A8">
              <w:t>namel street signs</w:t>
            </w:r>
            <w:r w:rsidR="00DD5852">
              <w:t>; s</w:t>
            </w:r>
            <w:r w:rsidR="009751A8">
              <w:t>treet parties</w:t>
            </w:r>
            <w:r w:rsidR="00DD5852">
              <w:t xml:space="preserve">; </w:t>
            </w:r>
            <w:r>
              <w:t xml:space="preserve">and </w:t>
            </w:r>
            <w:r w:rsidR="00DD5852">
              <w:t>p</w:t>
            </w:r>
            <w:r>
              <w:t xml:space="preserve">enguins. </w:t>
            </w:r>
            <w:r w:rsidR="009751A8">
              <w:t xml:space="preserve"> </w:t>
            </w:r>
          </w:p>
          <w:p w14:paraId="7257D273" w14:textId="5A0DE1DD" w:rsidR="007F16A4" w:rsidRDefault="007F16A4" w:rsidP="007642A1"/>
        </w:tc>
        <w:tc>
          <w:tcPr>
            <w:tcW w:w="3402" w:type="dxa"/>
          </w:tcPr>
          <w:p w14:paraId="6E2F0D0D" w14:textId="77777777" w:rsidR="00247B12" w:rsidRDefault="00247B12" w:rsidP="00247B12">
            <w:r>
              <w:t>The identification of these attributes of place goes to the more ephemeral qualities of an environment whereby memory, understanding, a reaction is prompted as a consequence of experiencing the attribute.</w:t>
            </w:r>
          </w:p>
          <w:p w14:paraId="2E31780B" w14:textId="14F8B44F" w:rsidR="00136E3D" w:rsidRDefault="00247B12" w:rsidP="00247B12">
            <w:r>
              <w:t>As commented above (see ‘cultural landscapes’) the sensitivity to such attributes goes to the recognition of a broader concept of community heritage and place making.  The attributes often support an individual sense of belonging to the larger place.</w:t>
            </w:r>
          </w:p>
        </w:tc>
      </w:tr>
      <w:tr w:rsidR="002A3331" w14:paraId="10804F5A" w14:textId="77777777" w:rsidTr="009B0C0B">
        <w:tc>
          <w:tcPr>
            <w:tcW w:w="2263" w:type="dxa"/>
          </w:tcPr>
          <w:p w14:paraId="2A788104" w14:textId="4030886F" w:rsidR="002A3331" w:rsidRPr="00215B94" w:rsidRDefault="002A3331" w:rsidP="00215B94">
            <w:r w:rsidRPr="00215B94">
              <w:t>Places of significance t</w:t>
            </w:r>
            <w:r w:rsidR="00215B94" w:rsidRPr="00215B94">
              <w:t>o Traditional Own</w:t>
            </w:r>
            <w:r w:rsidR="00B93F7C">
              <w:t xml:space="preserve">er </w:t>
            </w:r>
            <w:r w:rsidR="00215B94" w:rsidRPr="00215B94">
              <w:t xml:space="preserve">groups </w:t>
            </w:r>
          </w:p>
        </w:tc>
        <w:tc>
          <w:tcPr>
            <w:tcW w:w="2835" w:type="dxa"/>
          </w:tcPr>
          <w:p w14:paraId="0DFB40CB" w14:textId="77777777" w:rsidR="00215B94" w:rsidRPr="00215B94" w:rsidRDefault="00215B94" w:rsidP="00215B94">
            <w:r w:rsidRPr="00215B94">
              <w:t xml:space="preserve">Specifically: </w:t>
            </w:r>
          </w:p>
          <w:p w14:paraId="08AD3039" w14:textId="77777777" w:rsidR="002A3331" w:rsidRPr="00215B94" w:rsidRDefault="003D686D" w:rsidP="00387A20">
            <w:pPr>
              <w:pStyle w:val="ListParagraph"/>
              <w:numPr>
                <w:ilvl w:val="0"/>
                <w:numId w:val="8"/>
              </w:numPr>
            </w:pPr>
            <w:r w:rsidRPr="00215B94">
              <w:t xml:space="preserve">St Kilda corroboree tree (Ngargee), near Junction Oval, St Kilda </w:t>
            </w:r>
          </w:p>
          <w:p w14:paraId="6BFA4FFD" w14:textId="6F02A8B8" w:rsidR="00215B94" w:rsidRPr="00215B94" w:rsidRDefault="00215B94" w:rsidP="00387A20">
            <w:pPr>
              <w:pStyle w:val="ListParagraph"/>
              <w:numPr>
                <w:ilvl w:val="0"/>
                <w:numId w:val="8"/>
              </w:numPr>
            </w:pPr>
            <w:r w:rsidRPr="00215B94">
              <w:t xml:space="preserve">Interpretation signs relating to Indigenous land-use and practice </w:t>
            </w:r>
          </w:p>
        </w:tc>
        <w:tc>
          <w:tcPr>
            <w:tcW w:w="3402" w:type="dxa"/>
          </w:tcPr>
          <w:p w14:paraId="7CDB9F6F" w14:textId="656714A0" w:rsidR="002A3331" w:rsidRPr="00215B94" w:rsidRDefault="00215B94" w:rsidP="009F51CA">
            <w:r>
              <w:t xml:space="preserve">Direct engagement with TO groups was omitted from the campaign (see Section </w:t>
            </w:r>
            <w:r>
              <w:fldChar w:fldCharType="begin"/>
            </w:r>
            <w:r>
              <w:instrText xml:space="preserve"> REF _Ref518563513 \r \h </w:instrText>
            </w:r>
            <w:r>
              <w:fldChar w:fldCharType="separate"/>
            </w:r>
            <w:r w:rsidR="003E105F">
              <w:t>1.3.2</w:t>
            </w:r>
            <w:r>
              <w:fldChar w:fldCharType="end"/>
            </w:r>
            <w:r>
              <w:t xml:space="preserve">).  This will occur at a later stage in the </w:t>
            </w:r>
            <w:r w:rsidR="009F51CA">
              <w:t>Heritage Program</w:t>
            </w:r>
            <w:r>
              <w:t xml:space="preserve">.  </w:t>
            </w:r>
          </w:p>
        </w:tc>
      </w:tr>
      <w:tr w:rsidR="002A3331" w:rsidRPr="001E3843" w14:paraId="108DDA5E" w14:textId="77777777" w:rsidTr="009B0C0B">
        <w:tc>
          <w:tcPr>
            <w:tcW w:w="2263" w:type="dxa"/>
          </w:tcPr>
          <w:p w14:paraId="12456A1A" w14:textId="73FBB734" w:rsidR="002A3331" w:rsidRPr="00AA4B86" w:rsidRDefault="002A3331" w:rsidP="007642A1">
            <w:r w:rsidRPr="00AA4B86">
              <w:t xml:space="preserve">Places that are outside the </w:t>
            </w:r>
            <w:r w:rsidR="003D686D" w:rsidRPr="00AA4B86">
              <w:t xml:space="preserve">boundaries of the </w:t>
            </w:r>
            <w:r w:rsidRPr="00AA4B86">
              <w:t xml:space="preserve">CoPP </w:t>
            </w:r>
          </w:p>
        </w:tc>
        <w:tc>
          <w:tcPr>
            <w:tcW w:w="2835" w:type="dxa"/>
          </w:tcPr>
          <w:p w14:paraId="0C041827" w14:textId="7D9EBF4E" w:rsidR="002A3331" w:rsidRPr="00AA4B86" w:rsidRDefault="00AA4B86" w:rsidP="00AA4B86">
            <w:r>
              <w:t xml:space="preserve">Examples include: Westgate Park, Elsternwick Park and Fawkner Park, </w:t>
            </w:r>
          </w:p>
        </w:tc>
        <w:tc>
          <w:tcPr>
            <w:tcW w:w="3402" w:type="dxa"/>
          </w:tcPr>
          <w:p w14:paraId="141F51B2" w14:textId="7F5AB2B3" w:rsidR="002A3331" w:rsidRPr="00AA4B86" w:rsidRDefault="00247B12" w:rsidP="00AA4B86">
            <w:r>
              <w:t>Reference to places external to the municipal boundaries reflect the fact that judgements about value are informed by lived experience.  In this context municipal boundaries have limited relevance, albeit that the reality is that the CoPP can only really control their defined municipality.</w:t>
            </w:r>
          </w:p>
        </w:tc>
      </w:tr>
      <w:tr w:rsidR="003D686D" w14:paraId="3435335C" w14:textId="77777777" w:rsidTr="009B0C0B">
        <w:tc>
          <w:tcPr>
            <w:tcW w:w="2263" w:type="dxa"/>
          </w:tcPr>
          <w:p w14:paraId="23F6344F" w14:textId="691BDC41" w:rsidR="003D686D" w:rsidRPr="00DD6446" w:rsidRDefault="003D686D" w:rsidP="00904A65">
            <w:r w:rsidRPr="00DD6446">
              <w:t>Unidentif</w:t>
            </w:r>
            <w:r w:rsidR="009F51CA">
              <w:t xml:space="preserve">iable </w:t>
            </w:r>
          </w:p>
        </w:tc>
        <w:tc>
          <w:tcPr>
            <w:tcW w:w="2835" w:type="dxa"/>
          </w:tcPr>
          <w:p w14:paraId="374182A2" w14:textId="77777777" w:rsidR="003D686D" w:rsidRDefault="003D686D" w:rsidP="00904A65">
            <w:r>
              <w:t>Coles car park; the Long bridges; refuse centre; ‘Batch’</w:t>
            </w:r>
          </w:p>
        </w:tc>
        <w:tc>
          <w:tcPr>
            <w:tcW w:w="3402" w:type="dxa"/>
          </w:tcPr>
          <w:p w14:paraId="673D42B6" w14:textId="7ACC2C03" w:rsidR="003D686D" w:rsidRDefault="00247B12" w:rsidP="00904A65">
            <w:r>
              <w:t xml:space="preserve">No comment </w:t>
            </w:r>
          </w:p>
        </w:tc>
      </w:tr>
    </w:tbl>
    <w:p w14:paraId="66E448D4" w14:textId="7E6349FA" w:rsidR="004E595C" w:rsidRDefault="004E595C" w:rsidP="007642A1"/>
    <w:p w14:paraId="4219ED56" w14:textId="10484719" w:rsidR="003C6F98" w:rsidRDefault="00247B12" w:rsidP="003C6F98">
      <w:pPr>
        <w:pStyle w:val="Heading5"/>
      </w:pPr>
      <w:r>
        <w:lastRenderedPageBreak/>
        <w:t xml:space="preserve">Comment </w:t>
      </w:r>
    </w:p>
    <w:p w14:paraId="11B2853D" w14:textId="397645DD" w:rsidR="00247B12" w:rsidRDefault="00247B12" w:rsidP="00247B12">
      <w:r>
        <w:t>The overall survey outcome indicates that the community notion of heritage is broader and more inclusive than that which is defined in the relevant planning legislation and schemes and applied in expert reports and assessments.  It is a heritage which is still largely physically-based and which has tangible fabric, but is less constrained by the limitations of comparative values and hierarchies of significance.  It is also a heritage in which the sensory experiences (intangible qualities) of a place or places can be as important as the place itself.</w:t>
      </w:r>
    </w:p>
    <w:p w14:paraId="40DF44D4" w14:textId="142C7E2C" w:rsidR="00247B12" w:rsidRPr="00B93F7C" w:rsidRDefault="00247B12" w:rsidP="007642A1">
      <w:pPr>
        <w:rPr>
          <w:rFonts w:ascii="Calibri" w:hAnsi="Calibri" w:cs="Calibri"/>
          <w:color w:val="000000"/>
          <w:lang w:eastAsia="en-AU"/>
        </w:rPr>
      </w:pPr>
      <w:r>
        <w:t>Stemming from this it is evident the precinct citations for places currently included in HO precincts rarely address the events/attributes which form the basis of the community’s attachment to the place.  It is also the case that many attributes that are valued by the community, such as events (the</w:t>
      </w:r>
      <w:r>
        <w:rPr>
          <w:rFonts w:ascii="Calibri" w:hAnsi="Calibri" w:cs="Calibri"/>
          <w:color w:val="000000"/>
          <w:lang w:eastAsia="en-AU"/>
        </w:rPr>
        <w:t xml:space="preserve"> St Kilda Esplanade Sunday Market</w:t>
      </w:r>
      <w:r>
        <w:t xml:space="preserve">) are ill-suited to control under the Planning Scheme; many would simply not be considered as heritage places (such as the </w:t>
      </w:r>
      <w:r>
        <w:rPr>
          <w:rFonts w:ascii="Calibri" w:hAnsi="Calibri" w:cs="Calibri"/>
          <w:color w:val="000000"/>
          <w:lang w:eastAsia="en-AU"/>
        </w:rPr>
        <w:t>Sol Green Community Centre and a public table tennis table).  Typically such places, if within a heritage precinct would be designated as non-contributory and as such vulnerable to demolition and redevelopmen</w:t>
      </w:r>
      <w:r w:rsidR="008634D3">
        <w:rPr>
          <w:rFonts w:ascii="Calibri" w:hAnsi="Calibri" w:cs="Calibri"/>
          <w:color w:val="000000"/>
          <w:lang w:eastAsia="en-AU"/>
        </w:rPr>
        <w:t xml:space="preserve">t (see section </w:t>
      </w:r>
      <w:r w:rsidR="008634D3">
        <w:rPr>
          <w:rFonts w:ascii="Calibri" w:hAnsi="Calibri" w:cs="Calibri"/>
          <w:color w:val="000000"/>
          <w:lang w:eastAsia="en-AU"/>
        </w:rPr>
        <w:fldChar w:fldCharType="begin"/>
      </w:r>
      <w:r w:rsidR="008634D3">
        <w:rPr>
          <w:rFonts w:ascii="Calibri" w:hAnsi="Calibri" w:cs="Calibri"/>
          <w:color w:val="000000"/>
          <w:lang w:eastAsia="en-AU"/>
        </w:rPr>
        <w:instrText xml:space="preserve"> REF _Ref522609140 \r \h </w:instrText>
      </w:r>
      <w:r w:rsidR="008634D3">
        <w:rPr>
          <w:rFonts w:ascii="Calibri" w:hAnsi="Calibri" w:cs="Calibri"/>
          <w:color w:val="000000"/>
          <w:lang w:eastAsia="en-AU"/>
        </w:rPr>
      </w:r>
      <w:r w:rsidR="008634D3">
        <w:rPr>
          <w:rFonts w:ascii="Calibri" w:hAnsi="Calibri" w:cs="Calibri"/>
          <w:color w:val="000000"/>
          <w:lang w:eastAsia="en-AU"/>
        </w:rPr>
        <w:fldChar w:fldCharType="separate"/>
      </w:r>
      <w:r w:rsidR="003E105F">
        <w:rPr>
          <w:rFonts w:ascii="Calibri" w:hAnsi="Calibri" w:cs="Calibri"/>
          <w:color w:val="000000"/>
          <w:lang w:eastAsia="en-AU"/>
        </w:rPr>
        <w:t>6.2.1</w:t>
      </w:r>
      <w:r w:rsidR="008634D3">
        <w:rPr>
          <w:rFonts w:ascii="Calibri" w:hAnsi="Calibri" w:cs="Calibri"/>
          <w:color w:val="000000"/>
          <w:lang w:eastAsia="en-AU"/>
        </w:rPr>
        <w:fldChar w:fldCharType="end"/>
      </w:r>
      <w:r w:rsidR="008634D3">
        <w:rPr>
          <w:rFonts w:ascii="Calibri" w:hAnsi="Calibri" w:cs="Calibri"/>
          <w:color w:val="000000"/>
          <w:lang w:eastAsia="en-AU"/>
        </w:rPr>
        <w:t xml:space="preserve">). </w:t>
      </w:r>
    </w:p>
    <w:p w14:paraId="54C9EB1C" w14:textId="77777777" w:rsidR="00247B12" w:rsidRDefault="00247B12" w:rsidP="00247B12">
      <w:pPr>
        <w:pStyle w:val="Heading3"/>
        <w:numPr>
          <w:ilvl w:val="2"/>
          <w:numId w:val="9"/>
        </w:numPr>
        <w:tabs>
          <w:tab w:val="clear" w:pos="2128"/>
          <w:tab w:val="left" w:pos="720"/>
          <w:tab w:val="num" w:pos="2978"/>
        </w:tabs>
        <w:ind w:left="851"/>
        <w:textAlignment w:val="auto"/>
        <w:rPr>
          <w:lang w:eastAsia="en-AU"/>
        </w:rPr>
      </w:pPr>
      <w:bookmarkStart w:id="71" w:name="_Ref522609140"/>
      <w:bookmarkStart w:id="72" w:name="_Toc522766161"/>
      <w:r>
        <w:rPr>
          <w:lang w:eastAsia="en-AU"/>
        </w:rPr>
        <w:t>Non-contributory places in HO precincts</w:t>
      </w:r>
      <w:bookmarkEnd w:id="71"/>
      <w:bookmarkEnd w:id="72"/>
    </w:p>
    <w:p w14:paraId="067EF209" w14:textId="3C039A03" w:rsidR="00247B12" w:rsidRDefault="00247B12" w:rsidP="007642A1">
      <w:r>
        <w:t xml:space="preserve">The full list of places/events/attributes valued by community groups which are non-contributory within HO precincts is at </w:t>
      </w:r>
      <w:r>
        <w:fldChar w:fldCharType="begin"/>
      </w:r>
      <w:r>
        <w:instrText xml:space="preserve"> REF _Ref520378635 \h </w:instrText>
      </w:r>
      <w:r>
        <w:fldChar w:fldCharType="separate"/>
      </w:r>
      <w:r w:rsidR="003E105F">
        <w:t xml:space="preserve">Table </w:t>
      </w:r>
      <w:r w:rsidR="003E105F">
        <w:rPr>
          <w:noProof/>
        </w:rPr>
        <w:t>3</w:t>
      </w:r>
      <w:r>
        <w:fldChar w:fldCharType="end"/>
      </w:r>
      <w:r>
        <w:t xml:space="preserve">. </w:t>
      </w:r>
    </w:p>
    <w:p w14:paraId="29BA1E98" w14:textId="3EA3627B" w:rsidR="00850A8D" w:rsidRDefault="00850A8D" w:rsidP="00850A8D">
      <w:pPr>
        <w:pStyle w:val="Caption"/>
      </w:pPr>
      <w:bookmarkStart w:id="73" w:name="_Ref520378635"/>
      <w:r>
        <w:t xml:space="preserve">Table </w:t>
      </w:r>
      <w:r w:rsidR="00AB40B7">
        <w:rPr>
          <w:noProof/>
        </w:rPr>
        <w:fldChar w:fldCharType="begin"/>
      </w:r>
      <w:r w:rsidR="00AB40B7">
        <w:rPr>
          <w:noProof/>
        </w:rPr>
        <w:instrText xml:space="preserve"> SEQ Table \* ARABIC </w:instrText>
      </w:r>
      <w:r w:rsidR="00AB40B7">
        <w:rPr>
          <w:noProof/>
        </w:rPr>
        <w:fldChar w:fldCharType="separate"/>
      </w:r>
      <w:r w:rsidR="003E105F">
        <w:rPr>
          <w:noProof/>
        </w:rPr>
        <w:t>3</w:t>
      </w:r>
      <w:r w:rsidR="00AB40B7">
        <w:rPr>
          <w:noProof/>
        </w:rPr>
        <w:fldChar w:fldCharType="end"/>
      </w:r>
      <w:bookmarkEnd w:id="73"/>
      <w:r>
        <w:tab/>
        <w:t xml:space="preserve">Non-contributory places in HO precincts </w:t>
      </w:r>
    </w:p>
    <w:tbl>
      <w:tblPr>
        <w:tblStyle w:val="TableGrid"/>
        <w:tblW w:w="0" w:type="auto"/>
        <w:tblLook w:val="04A0" w:firstRow="1" w:lastRow="0" w:firstColumn="1" w:lastColumn="0" w:noHBand="0" w:noVBand="1"/>
      </w:tblPr>
      <w:tblGrid>
        <w:gridCol w:w="5098"/>
        <w:gridCol w:w="3397"/>
      </w:tblGrid>
      <w:tr w:rsidR="00850A8D" w:rsidRPr="00850A8D" w14:paraId="27BAEFA4" w14:textId="77777777" w:rsidTr="00020866">
        <w:trPr>
          <w:tblHeader/>
        </w:trPr>
        <w:tc>
          <w:tcPr>
            <w:tcW w:w="5098" w:type="dxa"/>
          </w:tcPr>
          <w:p w14:paraId="20AEFAB0" w14:textId="0E94BF35" w:rsidR="00850A8D" w:rsidRPr="00850A8D" w:rsidRDefault="00850A8D" w:rsidP="007642A1">
            <w:pPr>
              <w:rPr>
                <w:b/>
                <w:i/>
              </w:rPr>
            </w:pPr>
            <w:r w:rsidRPr="00850A8D">
              <w:rPr>
                <w:b/>
                <w:i/>
              </w:rPr>
              <w:t xml:space="preserve">Place </w:t>
            </w:r>
          </w:p>
        </w:tc>
        <w:tc>
          <w:tcPr>
            <w:tcW w:w="3397" w:type="dxa"/>
          </w:tcPr>
          <w:p w14:paraId="73D4046E" w14:textId="683CAAA9" w:rsidR="00850A8D" w:rsidRPr="00850A8D" w:rsidRDefault="00850A8D" w:rsidP="007642A1">
            <w:pPr>
              <w:rPr>
                <w:b/>
                <w:i/>
              </w:rPr>
            </w:pPr>
            <w:r w:rsidRPr="00850A8D">
              <w:rPr>
                <w:b/>
                <w:i/>
              </w:rPr>
              <w:t xml:space="preserve">Precinct </w:t>
            </w:r>
          </w:p>
        </w:tc>
      </w:tr>
      <w:tr w:rsidR="00850A8D" w14:paraId="7BFC8AFF" w14:textId="77777777" w:rsidTr="00020866">
        <w:tc>
          <w:tcPr>
            <w:tcW w:w="5098" w:type="dxa"/>
          </w:tcPr>
          <w:p w14:paraId="49882DD6" w14:textId="3AE3C071" w:rsidR="00850A8D" w:rsidRDefault="00850A8D" w:rsidP="007642A1">
            <w:r>
              <w:rPr>
                <w:rFonts w:ascii="Calibri" w:hAnsi="Calibri" w:cs="Calibri"/>
                <w:color w:val="000000"/>
                <w:lang w:eastAsia="en-AU"/>
              </w:rPr>
              <w:t xml:space="preserve">St Kilda Adventure Playground </w:t>
            </w:r>
          </w:p>
        </w:tc>
        <w:tc>
          <w:tcPr>
            <w:tcW w:w="3397" w:type="dxa"/>
          </w:tcPr>
          <w:p w14:paraId="08533A9F" w14:textId="3231A655" w:rsidR="00850A8D" w:rsidRDefault="00850A8D" w:rsidP="007642A1">
            <w:r>
              <w:rPr>
                <w:rFonts w:ascii="Calibri" w:hAnsi="Calibri" w:cs="Calibri"/>
                <w:color w:val="000000"/>
                <w:lang w:eastAsia="en-AU"/>
              </w:rPr>
              <w:t>HO5</w:t>
            </w:r>
          </w:p>
        </w:tc>
      </w:tr>
      <w:tr w:rsidR="000B15C7" w14:paraId="2EAE9D22" w14:textId="77777777" w:rsidTr="00020866">
        <w:tc>
          <w:tcPr>
            <w:tcW w:w="5098" w:type="dxa"/>
          </w:tcPr>
          <w:p w14:paraId="26D03B06" w14:textId="4DDB16EF" w:rsidR="000B15C7" w:rsidRDefault="000B15C7" w:rsidP="000B15C7">
            <w:r>
              <w:rPr>
                <w:rFonts w:ascii="Calibri" w:hAnsi="Calibri" w:cs="Calibri"/>
                <w:color w:val="000000"/>
                <w:lang w:eastAsia="en-AU"/>
              </w:rPr>
              <w:t>St Kilda Esplanade Sunday Market</w:t>
            </w:r>
          </w:p>
        </w:tc>
        <w:tc>
          <w:tcPr>
            <w:tcW w:w="3397" w:type="dxa"/>
          </w:tcPr>
          <w:p w14:paraId="1D750E34" w14:textId="7F53CD46" w:rsidR="000B15C7" w:rsidRDefault="000B15C7" w:rsidP="000B15C7">
            <w:r>
              <w:rPr>
                <w:rFonts w:ascii="Calibri" w:hAnsi="Calibri" w:cs="Calibri"/>
                <w:color w:val="000000"/>
                <w:lang w:eastAsia="en-AU"/>
              </w:rPr>
              <w:t>Held on Upper Esplanade, which is within HO5</w:t>
            </w:r>
          </w:p>
        </w:tc>
      </w:tr>
      <w:tr w:rsidR="000B15C7" w14:paraId="56DA394F" w14:textId="77777777" w:rsidTr="00020866">
        <w:tc>
          <w:tcPr>
            <w:tcW w:w="5098" w:type="dxa"/>
          </w:tcPr>
          <w:p w14:paraId="7BCEFCB0" w14:textId="254F1513" w:rsidR="000B15C7" w:rsidRDefault="000B15C7" w:rsidP="000B15C7">
            <w:r>
              <w:rPr>
                <w:rFonts w:ascii="Calibri" w:hAnsi="Calibri" w:cs="Calibri"/>
                <w:color w:val="000000"/>
                <w:lang w:eastAsia="en-AU"/>
              </w:rPr>
              <w:t>Sol Green Community Centre</w:t>
            </w:r>
          </w:p>
        </w:tc>
        <w:tc>
          <w:tcPr>
            <w:tcW w:w="3397" w:type="dxa"/>
          </w:tcPr>
          <w:p w14:paraId="4EC0D5E3" w14:textId="6AF5F732" w:rsidR="000B15C7" w:rsidRDefault="000B15C7" w:rsidP="000B15C7">
            <w:r>
              <w:t>HO1</w:t>
            </w:r>
          </w:p>
        </w:tc>
      </w:tr>
      <w:tr w:rsidR="000B15C7" w14:paraId="575657E7" w14:textId="77777777" w:rsidTr="00020866">
        <w:tc>
          <w:tcPr>
            <w:tcW w:w="5098" w:type="dxa"/>
          </w:tcPr>
          <w:p w14:paraId="0CD56F5B" w14:textId="528EE946" w:rsidR="000B15C7" w:rsidRDefault="000B15C7" w:rsidP="000B15C7">
            <w:r>
              <w:rPr>
                <w:rFonts w:ascii="Calibri" w:hAnsi="Calibri" w:cs="Calibri"/>
                <w:color w:val="000000"/>
                <w:lang w:eastAsia="en-AU"/>
              </w:rPr>
              <w:t>Crockford Street Reserve</w:t>
            </w:r>
          </w:p>
        </w:tc>
        <w:tc>
          <w:tcPr>
            <w:tcW w:w="3397" w:type="dxa"/>
          </w:tcPr>
          <w:p w14:paraId="731DBFDC" w14:textId="2140E618" w:rsidR="000B15C7" w:rsidRDefault="000B15C7" w:rsidP="000B15C7">
            <w:r>
              <w:t>HO1</w:t>
            </w:r>
          </w:p>
        </w:tc>
      </w:tr>
      <w:tr w:rsidR="000B15C7" w14:paraId="0F9C8A82" w14:textId="77777777" w:rsidTr="00020866">
        <w:tc>
          <w:tcPr>
            <w:tcW w:w="5098" w:type="dxa"/>
          </w:tcPr>
          <w:p w14:paraId="267711DC" w14:textId="1A783DB6" w:rsidR="000B15C7" w:rsidRDefault="000B15C7" w:rsidP="000B15C7">
            <w:r>
              <w:rPr>
                <w:rFonts w:ascii="Calibri" w:hAnsi="Calibri" w:cs="Calibri"/>
                <w:color w:val="000000"/>
                <w:lang w:eastAsia="en-AU"/>
              </w:rPr>
              <w:t>Crichton Reserve, Port Melbourne</w:t>
            </w:r>
          </w:p>
        </w:tc>
        <w:tc>
          <w:tcPr>
            <w:tcW w:w="3397" w:type="dxa"/>
          </w:tcPr>
          <w:p w14:paraId="40F4EFB3" w14:textId="10B4CD9A" w:rsidR="000B15C7" w:rsidRDefault="000B15C7" w:rsidP="000B15C7">
            <w:r>
              <w:t>HO1</w:t>
            </w:r>
          </w:p>
        </w:tc>
      </w:tr>
      <w:tr w:rsidR="000B15C7" w14:paraId="3F6E9C30" w14:textId="77777777" w:rsidTr="00020866">
        <w:tc>
          <w:tcPr>
            <w:tcW w:w="5098" w:type="dxa"/>
          </w:tcPr>
          <w:p w14:paraId="3C555148" w14:textId="6AEB06B3" w:rsidR="000B15C7" w:rsidRDefault="000B15C7" w:rsidP="000B15C7">
            <w:r>
              <w:rPr>
                <w:rFonts w:ascii="Calibri" w:hAnsi="Calibri" w:cs="Calibri"/>
                <w:color w:val="000000"/>
                <w:lang w:eastAsia="en-AU"/>
              </w:rPr>
              <w:t>Table tennis table in Cowderoy St Park</w:t>
            </w:r>
          </w:p>
        </w:tc>
        <w:tc>
          <w:tcPr>
            <w:tcW w:w="3397" w:type="dxa"/>
          </w:tcPr>
          <w:p w14:paraId="301C0EC0" w14:textId="10DCB599" w:rsidR="000B15C7" w:rsidRDefault="000B15C7" w:rsidP="000B15C7">
            <w:r>
              <w:t>HO</w:t>
            </w:r>
            <w:r w:rsidR="00AB41BA">
              <w:t>444</w:t>
            </w:r>
          </w:p>
        </w:tc>
      </w:tr>
      <w:tr w:rsidR="000B15C7" w14:paraId="0025FFA3" w14:textId="77777777" w:rsidTr="00020866">
        <w:tc>
          <w:tcPr>
            <w:tcW w:w="5098" w:type="dxa"/>
          </w:tcPr>
          <w:p w14:paraId="54291DE2" w14:textId="09F3CB96" w:rsidR="000B15C7" w:rsidRDefault="000B15C7" w:rsidP="000B15C7">
            <w:r>
              <w:rPr>
                <w:rFonts w:ascii="Calibri" w:hAnsi="Calibri" w:cs="Calibri"/>
                <w:color w:val="000000"/>
                <w:lang w:eastAsia="en-AU"/>
              </w:rPr>
              <w:t>Benches crafted of old timber e.g. at Bridge and Bay Port Melbourne, at Beacon Cove foreshore, two benches at Port Melbourne Library made from the felled Holy Trinity Jackson Fig</w:t>
            </w:r>
          </w:p>
        </w:tc>
        <w:tc>
          <w:tcPr>
            <w:tcW w:w="3397" w:type="dxa"/>
          </w:tcPr>
          <w:p w14:paraId="486C5C84" w14:textId="462228F0" w:rsidR="000B15C7" w:rsidRDefault="000B15C7" w:rsidP="000B15C7">
            <w:r>
              <w:t>HO1</w:t>
            </w:r>
          </w:p>
        </w:tc>
      </w:tr>
      <w:tr w:rsidR="000B15C7" w14:paraId="2D222870" w14:textId="77777777" w:rsidTr="00020866">
        <w:tc>
          <w:tcPr>
            <w:tcW w:w="5098" w:type="dxa"/>
          </w:tcPr>
          <w:p w14:paraId="43E17445" w14:textId="6C87F570" w:rsidR="000B15C7" w:rsidRDefault="000B15C7" w:rsidP="00FD4285">
            <w:r>
              <w:rPr>
                <w:rFonts w:ascii="Calibri" w:hAnsi="Calibri" w:cs="Calibri"/>
                <w:color w:val="000000"/>
                <w:lang w:eastAsia="en-AU"/>
              </w:rPr>
              <w:t>The drain between St Kilda Library (off Duke and Lynott Streets)</w:t>
            </w:r>
          </w:p>
        </w:tc>
        <w:tc>
          <w:tcPr>
            <w:tcW w:w="3397" w:type="dxa"/>
          </w:tcPr>
          <w:p w14:paraId="3B364C84" w14:textId="768CF6A5" w:rsidR="000B15C7" w:rsidRDefault="000B15C7" w:rsidP="00FD4285">
            <w:r>
              <w:rPr>
                <w:rFonts w:ascii="Calibri" w:hAnsi="Calibri" w:cs="Calibri"/>
                <w:color w:val="000000"/>
                <w:lang w:eastAsia="en-AU"/>
              </w:rPr>
              <w:t>HO7 (Part)</w:t>
            </w:r>
          </w:p>
        </w:tc>
      </w:tr>
      <w:tr w:rsidR="000B15C7" w14:paraId="2DFEA7BB" w14:textId="77777777" w:rsidTr="00020866">
        <w:tc>
          <w:tcPr>
            <w:tcW w:w="5098" w:type="dxa"/>
          </w:tcPr>
          <w:p w14:paraId="5C82A83E" w14:textId="1C48537F" w:rsidR="000B15C7" w:rsidRDefault="000B15C7" w:rsidP="00FD4285">
            <w:r>
              <w:rPr>
                <w:rFonts w:ascii="Calibri" w:hAnsi="Calibri" w:cs="Calibri"/>
                <w:color w:val="000000"/>
                <w:lang w:eastAsia="en-AU"/>
              </w:rPr>
              <w:t>Middle Park Lawn Bowls Club</w:t>
            </w:r>
          </w:p>
        </w:tc>
        <w:tc>
          <w:tcPr>
            <w:tcW w:w="3397" w:type="dxa"/>
          </w:tcPr>
          <w:p w14:paraId="1B7D38F4" w14:textId="6EE1EF8A" w:rsidR="000B15C7" w:rsidRDefault="000B15C7" w:rsidP="00FD4285">
            <w:r>
              <w:rPr>
                <w:rFonts w:ascii="Calibri" w:hAnsi="Calibri" w:cs="Calibri"/>
                <w:color w:val="000000"/>
                <w:lang w:eastAsia="en-AU"/>
              </w:rPr>
              <w:t>HO446 (within Albert Park)</w:t>
            </w:r>
          </w:p>
        </w:tc>
      </w:tr>
      <w:tr w:rsidR="000B15C7" w14:paraId="3A0C479E" w14:textId="77777777" w:rsidTr="00020866">
        <w:tc>
          <w:tcPr>
            <w:tcW w:w="5098" w:type="dxa"/>
          </w:tcPr>
          <w:p w14:paraId="1D758887" w14:textId="0DC301B9" w:rsidR="000B15C7" w:rsidRDefault="000B15C7" w:rsidP="00FD4285">
            <w:r>
              <w:rPr>
                <w:rFonts w:ascii="Calibri" w:hAnsi="Calibri" w:cs="Calibri"/>
                <w:color w:val="000000"/>
                <w:lang w:eastAsia="en-AU"/>
              </w:rPr>
              <w:t>Ichini, adjacent to Esplanade Hotel</w:t>
            </w:r>
          </w:p>
        </w:tc>
        <w:tc>
          <w:tcPr>
            <w:tcW w:w="3397" w:type="dxa"/>
          </w:tcPr>
          <w:p w14:paraId="4103637B" w14:textId="197490D5" w:rsidR="000B15C7" w:rsidRDefault="000B15C7" w:rsidP="00FD4285">
            <w:r>
              <w:t>HO5</w:t>
            </w:r>
          </w:p>
        </w:tc>
      </w:tr>
      <w:tr w:rsidR="000B15C7" w14:paraId="11AEFF1F" w14:textId="77777777" w:rsidTr="00020866">
        <w:tc>
          <w:tcPr>
            <w:tcW w:w="5098" w:type="dxa"/>
          </w:tcPr>
          <w:p w14:paraId="04243B63" w14:textId="27E08F93" w:rsidR="000B15C7" w:rsidRDefault="000B15C7" w:rsidP="00FD4285">
            <w:r>
              <w:rPr>
                <w:rFonts w:ascii="Calibri" w:hAnsi="Calibri" w:cs="Calibri"/>
                <w:color w:val="000000"/>
                <w:lang w:eastAsia="en-AU"/>
              </w:rPr>
              <w:t>Rowland S Howard Lane</w:t>
            </w:r>
          </w:p>
        </w:tc>
        <w:tc>
          <w:tcPr>
            <w:tcW w:w="3397" w:type="dxa"/>
          </w:tcPr>
          <w:p w14:paraId="7D070746" w14:textId="22A8EE73" w:rsidR="000B15C7" w:rsidRDefault="000B15C7" w:rsidP="00FD4285">
            <w:r>
              <w:t>HO5</w:t>
            </w:r>
          </w:p>
        </w:tc>
      </w:tr>
      <w:tr w:rsidR="000B15C7" w14:paraId="2A414583" w14:textId="77777777" w:rsidTr="00020866">
        <w:tc>
          <w:tcPr>
            <w:tcW w:w="5098" w:type="dxa"/>
          </w:tcPr>
          <w:p w14:paraId="1C60C03D" w14:textId="549B2F8E" w:rsidR="000B15C7" w:rsidRDefault="000B15C7" w:rsidP="00FD4285">
            <w:pPr>
              <w:rPr>
                <w:rFonts w:ascii="Calibri" w:hAnsi="Calibri" w:cs="Calibri"/>
                <w:color w:val="000000"/>
                <w:lang w:eastAsia="en-AU"/>
              </w:rPr>
            </w:pPr>
            <w:r>
              <w:rPr>
                <w:rFonts w:ascii="Calibri" w:hAnsi="Calibri" w:cs="Calibri"/>
                <w:color w:val="000000"/>
                <w:lang w:eastAsia="en-AU"/>
              </w:rPr>
              <w:t>Sangster Memorial (pm2551), Princes Street</w:t>
            </w:r>
          </w:p>
        </w:tc>
        <w:tc>
          <w:tcPr>
            <w:tcW w:w="3397" w:type="dxa"/>
          </w:tcPr>
          <w:p w14:paraId="46BBB5FB" w14:textId="091E483F" w:rsidR="000B15C7" w:rsidRDefault="000B15C7" w:rsidP="00FD4285">
            <w:r>
              <w:rPr>
                <w:rFonts w:ascii="Calibri" w:hAnsi="Calibri" w:cs="Calibri"/>
                <w:color w:val="000000"/>
                <w:lang w:eastAsia="en-AU"/>
              </w:rPr>
              <w:t>HO1 (within Sangster Reserve)</w:t>
            </w:r>
          </w:p>
        </w:tc>
      </w:tr>
      <w:tr w:rsidR="000B15C7" w14:paraId="3199360F" w14:textId="77777777" w:rsidTr="00020866">
        <w:tc>
          <w:tcPr>
            <w:tcW w:w="5098" w:type="dxa"/>
          </w:tcPr>
          <w:p w14:paraId="62DC45B8" w14:textId="4CAA9D07" w:rsidR="000B15C7" w:rsidRDefault="000B15C7" w:rsidP="00FD4285">
            <w:pPr>
              <w:rPr>
                <w:rFonts w:ascii="Calibri" w:hAnsi="Calibri" w:cs="Calibri"/>
                <w:color w:val="000000"/>
                <w:lang w:eastAsia="en-AU"/>
              </w:rPr>
            </w:pPr>
            <w:r>
              <w:rPr>
                <w:rFonts w:ascii="Calibri" w:hAnsi="Calibri" w:cs="Calibri"/>
                <w:color w:val="000000"/>
                <w:lang w:eastAsia="en-AU"/>
              </w:rPr>
              <w:t>Olive Zakharov Place (Liardet &amp; Lalor Streets, Port Melbourne, 3207)</w:t>
            </w:r>
          </w:p>
        </w:tc>
        <w:tc>
          <w:tcPr>
            <w:tcW w:w="3397" w:type="dxa"/>
          </w:tcPr>
          <w:p w14:paraId="376B7CA2" w14:textId="72AE5AD8" w:rsidR="000B15C7" w:rsidRDefault="000B15C7" w:rsidP="00FD4285">
            <w:r>
              <w:t>HO1</w:t>
            </w:r>
          </w:p>
        </w:tc>
      </w:tr>
      <w:tr w:rsidR="000B15C7" w14:paraId="6573593E" w14:textId="77777777" w:rsidTr="00020866">
        <w:tc>
          <w:tcPr>
            <w:tcW w:w="5098" w:type="dxa"/>
          </w:tcPr>
          <w:p w14:paraId="46E3F9C0" w14:textId="149162EF" w:rsidR="000B15C7" w:rsidRDefault="000B15C7" w:rsidP="00FD4285">
            <w:pPr>
              <w:rPr>
                <w:rFonts w:ascii="Calibri" w:hAnsi="Calibri" w:cs="Calibri"/>
                <w:color w:val="000000"/>
                <w:lang w:eastAsia="en-AU"/>
              </w:rPr>
            </w:pPr>
            <w:r>
              <w:rPr>
                <w:rFonts w:ascii="Calibri" w:hAnsi="Calibri" w:cs="Calibri"/>
                <w:color w:val="000000"/>
                <w:lang w:eastAsia="en-AU"/>
              </w:rPr>
              <w:t>Cora Grave Community Centre, 38 Blessington Street</w:t>
            </w:r>
          </w:p>
        </w:tc>
        <w:tc>
          <w:tcPr>
            <w:tcW w:w="3397" w:type="dxa"/>
          </w:tcPr>
          <w:p w14:paraId="32F11304" w14:textId="49B6374C" w:rsidR="000B15C7" w:rsidRDefault="000B15C7" w:rsidP="00FD4285">
            <w:r>
              <w:rPr>
                <w:rFonts w:ascii="Calibri" w:hAnsi="Calibri" w:cs="Calibri"/>
                <w:color w:val="000000"/>
                <w:lang w:eastAsia="en-AU"/>
              </w:rPr>
              <w:t>HO5</w:t>
            </w:r>
          </w:p>
        </w:tc>
      </w:tr>
      <w:tr w:rsidR="000B15C7" w14:paraId="319D343A" w14:textId="77777777" w:rsidTr="00020866">
        <w:tc>
          <w:tcPr>
            <w:tcW w:w="5098" w:type="dxa"/>
          </w:tcPr>
          <w:p w14:paraId="153382BB" w14:textId="7920870C" w:rsidR="000B15C7" w:rsidRDefault="000B15C7" w:rsidP="00FD4285">
            <w:pPr>
              <w:rPr>
                <w:rFonts w:ascii="Calibri" w:hAnsi="Calibri" w:cs="Calibri"/>
                <w:color w:val="000000"/>
                <w:lang w:eastAsia="en-AU"/>
              </w:rPr>
            </w:pPr>
            <w:r>
              <w:rPr>
                <w:rFonts w:ascii="Calibri" w:hAnsi="Calibri" w:cs="Calibri"/>
                <w:color w:val="000000"/>
                <w:lang w:eastAsia="en-AU"/>
              </w:rPr>
              <w:t>Batch, Carlisle Street</w:t>
            </w:r>
          </w:p>
        </w:tc>
        <w:tc>
          <w:tcPr>
            <w:tcW w:w="3397" w:type="dxa"/>
          </w:tcPr>
          <w:p w14:paraId="742B064A" w14:textId="5C62B952" w:rsidR="000B15C7" w:rsidRDefault="000B15C7" w:rsidP="00FD4285">
            <w:r>
              <w:rPr>
                <w:rFonts w:ascii="Calibri" w:hAnsi="Calibri" w:cs="Calibri"/>
                <w:color w:val="000000"/>
                <w:lang w:eastAsia="en-AU"/>
              </w:rPr>
              <w:t>HO7</w:t>
            </w:r>
          </w:p>
        </w:tc>
      </w:tr>
      <w:tr w:rsidR="000B15C7" w14:paraId="1BD51B57" w14:textId="77777777" w:rsidTr="00020866">
        <w:tc>
          <w:tcPr>
            <w:tcW w:w="5098" w:type="dxa"/>
          </w:tcPr>
          <w:p w14:paraId="76E96BE9" w14:textId="410A3980" w:rsidR="000B15C7" w:rsidRDefault="000B15C7" w:rsidP="00FD4285">
            <w:pPr>
              <w:rPr>
                <w:rFonts w:ascii="Calibri" w:hAnsi="Calibri" w:cs="Calibri"/>
                <w:color w:val="000000"/>
                <w:lang w:eastAsia="en-AU"/>
              </w:rPr>
            </w:pPr>
            <w:r>
              <w:rPr>
                <w:rFonts w:ascii="Calibri" w:hAnsi="Calibri" w:cs="Calibri"/>
                <w:color w:val="000000"/>
                <w:lang w:eastAsia="en-AU"/>
              </w:rPr>
              <w:lastRenderedPageBreak/>
              <w:t>South Mel</w:t>
            </w:r>
            <w:r w:rsidR="00AC7638">
              <w:rPr>
                <w:rFonts w:ascii="Calibri" w:hAnsi="Calibri" w:cs="Calibri"/>
                <w:color w:val="000000"/>
                <w:lang w:eastAsia="en-AU"/>
              </w:rPr>
              <w:t>bourne Community Centre, 1 Ferra</w:t>
            </w:r>
            <w:r>
              <w:rPr>
                <w:rFonts w:ascii="Calibri" w:hAnsi="Calibri" w:cs="Calibri"/>
                <w:color w:val="000000"/>
                <w:lang w:eastAsia="en-AU"/>
              </w:rPr>
              <w:t>rs Place, South Melbourne</w:t>
            </w:r>
          </w:p>
        </w:tc>
        <w:tc>
          <w:tcPr>
            <w:tcW w:w="3397" w:type="dxa"/>
          </w:tcPr>
          <w:p w14:paraId="73DDB77D" w14:textId="79A7EE90" w:rsidR="000B15C7" w:rsidRDefault="000B15C7" w:rsidP="00FD4285">
            <w:r>
              <w:rPr>
                <w:rFonts w:ascii="Calibri" w:hAnsi="Calibri" w:cs="Calibri"/>
                <w:color w:val="000000"/>
                <w:lang w:eastAsia="en-AU"/>
              </w:rPr>
              <w:t>HO441</w:t>
            </w:r>
          </w:p>
        </w:tc>
      </w:tr>
      <w:tr w:rsidR="000B15C7" w14:paraId="5AB979FE" w14:textId="77777777" w:rsidTr="00020866">
        <w:tc>
          <w:tcPr>
            <w:tcW w:w="5098" w:type="dxa"/>
          </w:tcPr>
          <w:p w14:paraId="3D1E5415" w14:textId="5AD3BA78" w:rsidR="000B15C7" w:rsidRDefault="000B15C7" w:rsidP="00FD4285">
            <w:pPr>
              <w:rPr>
                <w:rFonts w:ascii="Calibri" w:hAnsi="Calibri" w:cs="Calibri"/>
                <w:color w:val="000000"/>
                <w:lang w:eastAsia="en-AU"/>
              </w:rPr>
            </w:pPr>
            <w:r>
              <w:rPr>
                <w:rFonts w:ascii="Calibri" w:hAnsi="Calibri" w:cs="Calibri"/>
                <w:color w:val="000000"/>
                <w:lang w:eastAsia="en-AU"/>
              </w:rPr>
              <w:t>Bala's, St Kilda (1C Shakespeare Grove, St Kilda VIC 3182)</w:t>
            </w:r>
          </w:p>
        </w:tc>
        <w:tc>
          <w:tcPr>
            <w:tcW w:w="3397" w:type="dxa"/>
          </w:tcPr>
          <w:p w14:paraId="4F8C76E1" w14:textId="2CC4DEAE" w:rsidR="000B15C7" w:rsidRDefault="000B15C7" w:rsidP="00FD4285">
            <w:r>
              <w:t>HO5</w:t>
            </w:r>
          </w:p>
        </w:tc>
      </w:tr>
    </w:tbl>
    <w:p w14:paraId="417BB22C" w14:textId="25A0562E" w:rsidR="00450F05" w:rsidRDefault="00450F05" w:rsidP="00450F05">
      <w:pPr>
        <w:rPr>
          <w:highlight w:val="yellow"/>
        </w:rPr>
      </w:pPr>
    </w:p>
    <w:p w14:paraId="1970AFFD" w14:textId="4F9AF7E6" w:rsidR="004D48E3" w:rsidRDefault="004D48E3" w:rsidP="00B93F7C">
      <w:pPr>
        <w:pStyle w:val="Heading3"/>
        <w:numPr>
          <w:ilvl w:val="2"/>
          <w:numId w:val="9"/>
        </w:numPr>
        <w:tabs>
          <w:tab w:val="clear" w:pos="2128"/>
          <w:tab w:val="left" w:pos="720"/>
          <w:tab w:val="num" w:pos="2978"/>
        </w:tabs>
        <w:ind w:left="851"/>
        <w:textAlignment w:val="auto"/>
        <w:rPr>
          <w:lang w:eastAsia="en-AU"/>
        </w:rPr>
      </w:pPr>
      <w:bookmarkStart w:id="74" w:name="_Ref520172293"/>
      <w:bookmarkStart w:id="75" w:name="_Toc522766162"/>
      <w:r w:rsidRPr="00DD6446">
        <w:rPr>
          <w:lang w:eastAsia="en-AU"/>
        </w:rPr>
        <w:t>Places that are not subject to heritage controls</w:t>
      </w:r>
      <w:bookmarkEnd w:id="74"/>
      <w:bookmarkEnd w:id="75"/>
    </w:p>
    <w:p w14:paraId="03393869" w14:textId="73BBABEB" w:rsidR="00811258" w:rsidRDefault="005F6B91" w:rsidP="007642A1">
      <w:pPr>
        <w:rPr>
          <w:color w:val="FF0000"/>
        </w:rPr>
      </w:pPr>
      <w:r>
        <w:t>P</w:t>
      </w:r>
      <w:r w:rsidR="007F76B2">
        <w:t xml:space="preserve">laces/features/attributes </w:t>
      </w:r>
      <w:r w:rsidR="00811258">
        <w:t xml:space="preserve">that are valued by the community but are not the subject of formal heritage controls are </w:t>
      </w:r>
      <w:r w:rsidR="0061518B">
        <w:t>listed below</w:t>
      </w:r>
      <w:r w:rsidR="00D361D0">
        <w:t xml:space="preserve"> (</w:t>
      </w:r>
      <w:r w:rsidR="00D361D0">
        <w:fldChar w:fldCharType="begin"/>
      </w:r>
      <w:r w:rsidR="00D361D0">
        <w:instrText xml:space="preserve"> REF _Ref522611707 \h </w:instrText>
      </w:r>
      <w:r w:rsidR="00D361D0">
        <w:fldChar w:fldCharType="separate"/>
      </w:r>
      <w:r w:rsidR="003E105F">
        <w:t xml:space="preserve">Table </w:t>
      </w:r>
      <w:r w:rsidR="003E105F">
        <w:rPr>
          <w:noProof/>
        </w:rPr>
        <w:t>4</w:t>
      </w:r>
      <w:r w:rsidR="00D361D0">
        <w:fldChar w:fldCharType="end"/>
      </w:r>
      <w:r w:rsidR="00D361D0">
        <w:t>)</w:t>
      </w:r>
      <w:r w:rsidR="00811258">
        <w:t xml:space="preserve">.  </w:t>
      </w:r>
      <w:r w:rsidR="0025245B">
        <w:t xml:space="preserve">A threshold for inclusion in the list was that each place was referenced by at least five people, directly or indirectly.  </w:t>
      </w:r>
    </w:p>
    <w:p w14:paraId="303C9A4D" w14:textId="784E36A5" w:rsidR="006A47F9" w:rsidRDefault="00B93F7C" w:rsidP="00C93AE6">
      <w:pPr>
        <w:pStyle w:val="Caption"/>
      </w:pPr>
      <w:bookmarkStart w:id="76" w:name="_Ref522611707"/>
      <w:r>
        <w:t xml:space="preserve">Table </w:t>
      </w:r>
      <w:r w:rsidR="00AA64B1">
        <w:rPr>
          <w:noProof/>
        </w:rPr>
        <w:fldChar w:fldCharType="begin"/>
      </w:r>
      <w:r w:rsidR="00AA64B1">
        <w:rPr>
          <w:noProof/>
        </w:rPr>
        <w:instrText xml:space="preserve"> SEQ Table \* ARABIC </w:instrText>
      </w:r>
      <w:r w:rsidR="00AA64B1">
        <w:rPr>
          <w:noProof/>
        </w:rPr>
        <w:fldChar w:fldCharType="separate"/>
      </w:r>
      <w:r w:rsidR="003E105F">
        <w:rPr>
          <w:noProof/>
        </w:rPr>
        <w:t>4</w:t>
      </w:r>
      <w:r w:rsidR="00AA64B1">
        <w:rPr>
          <w:noProof/>
        </w:rPr>
        <w:fldChar w:fldCharType="end"/>
      </w:r>
      <w:bookmarkEnd w:id="76"/>
      <w:r>
        <w:tab/>
        <w:t>Places without HO controls</w:t>
      </w:r>
    </w:p>
    <w:tbl>
      <w:tblPr>
        <w:tblStyle w:val="TableGrid"/>
        <w:tblW w:w="8500" w:type="dxa"/>
        <w:tblLook w:val="04A0" w:firstRow="1" w:lastRow="0" w:firstColumn="1" w:lastColumn="0" w:noHBand="0" w:noVBand="1"/>
      </w:tblPr>
      <w:tblGrid>
        <w:gridCol w:w="2972"/>
        <w:gridCol w:w="5528"/>
      </w:tblGrid>
      <w:tr w:rsidR="00D361D0" w14:paraId="650F55EE" w14:textId="77777777" w:rsidTr="00D361D0">
        <w:tc>
          <w:tcPr>
            <w:tcW w:w="2972" w:type="dxa"/>
            <w:vMerge w:val="restart"/>
            <w:tcBorders>
              <w:top w:val="single" w:sz="4" w:space="0" w:color="auto"/>
              <w:left w:val="single" w:sz="4" w:space="0" w:color="auto"/>
              <w:right w:val="single" w:sz="4" w:space="0" w:color="auto"/>
            </w:tcBorders>
            <w:hideMark/>
          </w:tcPr>
          <w:p w14:paraId="3636DB31" w14:textId="77777777" w:rsidR="00D361D0" w:rsidRPr="00D361D0" w:rsidRDefault="00D361D0" w:rsidP="00C93AE6">
            <w:pPr>
              <w:pStyle w:val="list1"/>
              <w:numPr>
                <w:ilvl w:val="0"/>
                <w:numId w:val="0"/>
              </w:numPr>
              <w:rPr>
                <w:i/>
              </w:rPr>
            </w:pPr>
            <w:r w:rsidRPr="00D361D0">
              <w:rPr>
                <w:i/>
              </w:rPr>
              <w:t>Markets</w:t>
            </w:r>
          </w:p>
        </w:tc>
        <w:tc>
          <w:tcPr>
            <w:tcW w:w="5528" w:type="dxa"/>
            <w:tcBorders>
              <w:top w:val="single" w:sz="4" w:space="0" w:color="auto"/>
              <w:left w:val="single" w:sz="4" w:space="0" w:color="auto"/>
              <w:bottom w:val="single" w:sz="4" w:space="0" w:color="auto"/>
              <w:right w:val="single" w:sz="4" w:space="0" w:color="auto"/>
            </w:tcBorders>
            <w:hideMark/>
          </w:tcPr>
          <w:p w14:paraId="7183B6F9" w14:textId="77777777" w:rsidR="00D361D0" w:rsidRDefault="00D361D0" w:rsidP="00C93AE6">
            <w:pPr>
              <w:pStyle w:val="list1"/>
              <w:numPr>
                <w:ilvl w:val="0"/>
                <w:numId w:val="0"/>
              </w:numPr>
            </w:pPr>
            <w:r>
              <w:t xml:space="preserve">South Melbourne Market </w:t>
            </w:r>
          </w:p>
        </w:tc>
      </w:tr>
      <w:tr w:rsidR="00D361D0" w14:paraId="2D2073E1" w14:textId="77777777" w:rsidTr="00D361D0">
        <w:tc>
          <w:tcPr>
            <w:tcW w:w="2972" w:type="dxa"/>
            <w:vMerge/>
            <w:tcBorders>
              <w:left w:val="single" w:sz="4" w:space="0" w:color="auto"/>
              <w:right w:val="single" w:sz="4" w:space="0" w:color="auto"/>
            </w:tcBorders>
          </w:tcPr>
          <w:p w14:paraId="186085D2" w14:textId="77777777" w:rsidR="00D361D0" w:rsidRPr="00D361D0" w:rsidRDefault="00D361D0" w:rsidP="00C93AE6">
            <w:pPr>
              <w:pStyle w:val="list1"/>
              <w:numPr>
                <w:ilvl w:val="0"/>
                <w:numId w:val="0"/>
              </w:numPr>
              <w:rPr>
                <w:i/>
              </w:rPr>
            </w:pPr>
          </w:p>
        </w:tc>
        <w:tc>
          <w:tcPr>
            <w:tcW w:w="5528" w:type="dxa"/>
            <w:tcBorders>
              <w:top w:val="single" w:sz="4" w:space="0" w:color="auto"/>
              <w:left w:val="single" w:sz="4" w:space="0" w:color="auto"/>
              <w:bottom w:val="single" w:sz="4" w:space="0" w:color="auto"/>
              <w:right w:val="single" w:sz="4" w:space="0" w:color="auto"/>
            </w:tcBorders>
            <w:hideMark/>
          </w:tcPr>
          <w:p w14:paraId="49FA9484" w14:textId="77777777" w:rsidR="00D361D0" w:rsidRDefault="00D361D0" w:rsidP="00C93AE6">
            <w:pPr>
              <w:pStyle w:val="list1"/>
              <w:numPr>
                <w:ilvl w:val="0"/>
                <w:numId w:val="0"/>
              </w:numPr>
            </w:pPr>
            <w:r>
              <w:t xml:space="preserve">St Kilda Farmers Market/The Peanut Farm Reserve </w:t>
            </w:r>
          </w:p>
        </w:tc>
      </w:tr>
      <w:tr w:rsidR="00D361D0" w14:paraId="5DB1B6AF" w14:textId="77777777" w:rsidTr="00D361D0">
        <w:tc>
          <w:tcPr>
            <w:tcW w:w="2972" w:type="dxa"/>
            <w:vMerge/>
            <w:tcBorders>
              <w:left w:val="single" w:sz="4" w:space="0" w:color="auto"/>
              <w:bottom w:val="single" w:sz="4" w:space="0" w:color="auto"/>
              <w:right w:val="single" w:sz="4" w:space="0" w:color="auto"/>
            </w:tcBorders>
          </w:tcPr>
          <w:p w14:paraId="510A561B" w14:textId="77777777" w:rsidR="00D361D0" w:rsidRPr="00D361D0" w:rsidRDefault="00D361D0" w:rsidP="00C93AE6">
            <w:pPr>
              <w:pStyle w:val="list1"/>
              <w:numPr>
                <w:ilvl w:val="0"/>
                <w:numId w:val="0"/>
              </w:numPr>
              <w:rPr>
                <w:i/>
              </w:rPr>
            </w:pPr>
          </w:p>
        </w:tc>
        <w:tc>
          <w:tcPr>
            <w:tcW w:w="5528" w:type="dxa"/>
            <w:tcBorders>
              <w:top w:val="single" w:sz="4" w:space="0" w:color="auto"/>
              <w:left w:val="single" w:sz="4" w:space="0" w:color="auto"/>
              <w:bottom w:val="single" w:sz="4" w:space="0" w:color="auto"/>
              <w:right w:val="single" w:sz="4" w:space="0" w:color="auto"/>
            </w:tcBorders>
            <w:hideMark/>
          </w:tcPr>
          <w:p w14:paraId="14961BB5" w14:textId="77777777" w:rsidR="00D361D0" w:rsidRDefault="00D361D0" w:rsidP="00C93AE6">
            <w:pPr>
              <w:pStyle w:val="list1"/>
              <w:numPr>
                <w:ilvl w:val="0"/>
                <w:numId w:val="0"/>
              </w:numPr>
            </w:pPr>
            <w:r>
              <w:t>Elwood Farmers Market</w:t>
            </w:r>
          </w:p>
        </w:tc>
      </w:tr>
      <w:tr w:rsidR="00D361D0" w:rsidRPr="00C93AE6" w14:paraId="33C3BA2D" w14:textId="77777777" w:rsidTr="00D361D0">
        <w:tc>
          <w:tcPr>
            <w:tcW w:w="2972" w:type="dxa"/>
            <w:vMerge w:val="restart"/>
            <w:tcBorders>
              <w:top w:val="single" w:sz="4" w:space="0" w:color="auto"/>
              <w:left w:val="single" w:sz="4" w:space="0" w:color="auto"/>
              <w:right w:val="single" w:sz="4" w:space="0" w:color="auto"/>
            </w:tcBorders>
            <w:hideMark/>
          </w:tcPr>
          <w:p w14:paraId="1505299B" w14:textId="77777777" w:rsidR="00D361D0" w:rsidRPr="00D361D0" w:rsidRDefault="00D361D0" w:rsidP="00C93AE6">
            <w:pPr>
              <w:pStyle w:val="list1"/>
              <w:numPr>
                <w:ilvl w:val="0"/>
                <w:numId w:val="0"/>
              </w:numPr>
              <w:rPr>
                <w:i/>
              </w:rPr>
            </w:pPr>
            <w:r w:rsidRPr="00D361D0">
              <w:rPr>
                <w:i/>
              </w:rPr>
              <w:t>Public open spaces (beaches, parks, gardens)</w:t>
            </w:r>
          </w:p>
        </w:tc>
        <w:tc>
          <w:tcPr>
            <w:tcW w:w="5528" w:type="dxa"/>
            <w:tcBorders>
              <w:top w:val="single" w:sz="4" w:space="0" w:color="auto"/>
              <w:left w:val="single" w:sz="4" w:space="0" w:color="auto"/>
              <w:bottom w:val="single" w:sz="4" w:space="0" w:color="auto"/>
              <w:right w:val="single" w:sz="4" w:space="0" w:color="auto"/>
            </w:tcBorders>
            <w:hideMark/>
          </w:tcPr>
          <w:p w14:paraId="0219D317" w14:textId="77777777" w:rsidR="00D361D0" w:rsidRDefault="00D361D0" w:rsidP="00C93AE6">
            <w:pPr>
              <w:pStyle w:val="list1"/>
              <w:numPr>
                <w:ilvl w:val="0"/>
                <w:numId w:val="0"/>
              </w:numPr>
            </w:pPr>
            <w:r>
              <w:t xml:space="preserve">Albert Park Beach </w:t>
            </w:r>
          </w:p>
        </w:tc>
      </w:tr>
      <w:tr w:rsidR="00D361D0" w14:paraId="6ECE19A4" w14:textId="77777777" w:rsidTr="00D361D0">
        <w:tc>
          <w:tcPr>
            <w:tcW w:w="2972" w:type="dxa"/>
            <w:vMerge/>
            <w:tcBorders>
              <w:left w:val="single" w:sz="4" w:space="0" w:color="auto"/>
              <w:right w:val="single" w:sz="4" w:space="0" w:color="auto"/>
            </w:tcBorders>
          </w:tcPr>
          <w:p w14:paraId="76CA1941" w14:textId="77777777" w:rsidR="00D361D0" w:rsidRPr="00D361D0" w:rsidRDefault="00D361D0" w:rsidP="00C93AE6">
            <w:pPr>
              <w:pStyle w:val="list1"/>
              <w:numPr>
                <w:ilvl w:val="0"/>
                <w:numId w:val="0"/>
              </w:numPr>
              <w:rPr>
                <w:i/>
              </w:rPr>
            </w:pPr>
          </w:p>
        </w:tc>
        <w:tc>
          <w:tcPr>
            <w:tcW w:w="5528" w:type="dxa"/>
            <w:tcBorders>
              <w:top w:val="single" w:sz="4" w:space="0" w:color="auto"/>
              <w:left w:val="single" w:sz="4" w:space="0" w:color="auto"/>
              <w:bottom w:val="single" w:sz="4" w:space="0" w:color="auto"/>
              <w:right w:val="single" w:sz="4" w:space="0" w:color="auto"/>
            </w:tcBorders>
            <w:hideMark/>
          </w:tcPr>
          <w:p w14:paraId="4237B957" w14:textId="77777777" w:rsidR="00D361D0" w:rsidRDefault="00D361D0" w:rsidP="00C93AE6">
            <w:pPr>
              <w:pStyle w:val="list1"/>
              <w:numPr>
                <w:ilvl w:val="0"/>
                <w:numId w:val="0"/>
              </w:numPr>
            </w:pPr>
            <w:r>
              <w:t>Middle Park Beach</w:t>
            </w:r>
          </w:p>
        </w:tc>
      </w:tr>
      <w:tr w:rsidR="00D361D0" w14:paraId="360D88E3" w14:textId="77777777" w:rsidTr="00D361D0">
        <w:tc>
          <w:tcPr>
            <w:tcW w:w="2972" w:type="dxa"/>
            <w:vMerge/>
            <w:tcBorders>
              <w:left w:val="single" w:sz="4" w:space="0" w:color="auto"/>
              <w:right w:val="single" w:sz="4" w:space="0" w:color="auto"/>
            </w:tcBorders>
          </w:tcPr>
          <w:p w14:paraId="73BA9D04" w14:textId="77777777" w:rsidR="00D361D0" w:rsidRPr="00D361D0" w:rsidRDefault="00D361D0" w:rsidP="00C93AE6">
            <w:pPr>
              <w:pStyle w:val="list1"/>
              <w:numPr>
                <w:ilvl w:val="0"/>
                <w:numId w:val="0"/>
              </w:numPr>
              <w:rPr>
                <w:i/>
              </w:rPr>
            </w:pPr>
          </w:p>
        </w:tc>
        <w:tc>
          <w:tcPr>
            <w:tcW w:w="5528" w:type="dxa"/>
            <w:tcBorders>
              <w:top w:val="single" w:sz="4" w:space="0" w:color="auto"/>
              <w:left w:val="single" w:sz="4" w:space="0" w:color="auto"/>
              <w:bottom w:val="single" w:sz="4" w:space="0" w:color="auto"/>
              <w:right w:val="single" w:sz="4" w:space="0" w:color="auto"/>
            </w:tcBorders>
            <w:hideMark/>
          </w:tcPr>
          <w:p w14:paraId="592686C8" w14:textId="77777777" w:rsidR="00D361D0" w:rsidRDefault="00D361D0" w:rsidP="00C93AE6">
            <w:pPr>
              <w:pStyle w:val="list1"/>
              <w:numPr>
                <w:ilvl w:val="0"/>
                <w:numId w:val="0"/>
              </w:numPr>
            </w:pPr>
            <w:r>
              <w:t xml:space="preserve">Canterbury Road Forest </w:t>
            </w:r>
          </w:p>
        </w:tc>
      </w:tr>
      <w:tr w:rsidR="00D361D0" w:rsidRPr="00C93AE6" w14:paraId="3EE40CCA" w14:textId="77777777" w:rsidTr="00D361D0">
        <w:tc>
          <w:tcPr>
            <w:tcW w:w="2972" w:type="dxa"/>
            <w:vMerge/>
            <w:tcBorders>
              <w:left w:val="single" w:sz="4" w:space="0" w:color="auto"/>
              <w:right w:val="single" w:sz="4" w:space="0" w:color="auto"/>
            </w:tcBorders>
          </w:tcPr>
          <w:p w14:paraId="40494B53" w14:textId="77777777" w:rsidR="00D361D0" w:rsidRPr="00D361D0" w:rsidRDefault="00D361D0" w:rsidP="00C93AE6">
            <w:pPr>
              <w:pStyle w:val="list1"/>
              <w:numPr>
                <w:ilvl w:val="0"/>
                <w:numId w:val="0"/>
              </w:numPr>
              <w:rPr>
                <w:i/>
              </w:rPr>
            </w:pPr>
          </w:p>
        </w:tc>
        <w:tc>
          <w:tcPr>
            <w:tcW w:w="5528" w:type="dxa"/>
            <w:tcBorders>
              <w:top w:val="single" w:sz="4" w:space="0" w:color="auto"/>
              <w:left w:val="single" w:sz="4" w:space="0" w:color="auto"/>
              <w:bottom w:val="single" w:sz="4" w:space="0" w:color="auto"/>
              <w:right w:val="single" w:sz="4" w:space="0" w:color="auto"/>
            </w:tcBorders>
            <w:hideMark/>
          </w:tcPr>
          <w:p w14:paraId="56DB8758" w14:textId="77777777" w:rsidR="00D361D0" w:rsidRDefault="00D361D0" w:rsidP="00C93AE6">
            <w:pPr>
              <w:pStyle w:val="list1"/>
              <w:numPr>
                <w:ilvl w:val="0"/>
                <w:numId w:val="0"/>
              </w:numPr>
            </w:pPr>
            <w:r>
              <w:t>Sandridge Beach and the fences made from old pier timbers</w:t>
            </w:r>
          </w:p>
        </w:tc>
      </w:tr>
      <w:tr w:rsidR="00D361D0" w14:paraId="3A9AD5F3" w14:textId="77777777" w:rsidTr="00D361D0">
        <w:tc>
          <w:tcPr>
            <w:tcW w:w="2972" w:type="dxa"/>
            <w:vMerge/>
            <w:tcBorders>
              <w:left w:val="single" w:sz="4" w:space="0" w:color="auto"/>
              <w:right w:val="single" w:sz="4" w:space="0" w:color="auto"/>
            </w:tcBorders>
          </w:tcPr>
          <w:p w14:paraId="4DCB88B5" w14:textId="77777777" w:rsidR="00D361D0" w:rsidRPr="00D361D0" w:rsidRDefault="00D361D0" w:rsidP="00C93AE6">
            <w:pPr>
              <w:pStyle w:val="list1"/>
              <w:numPr>
                <w:ilvl w:val="0"/>
                <w:numId w:val="0"/>
              </w:numPr>
              <w:rPr>
                <w:i/>
              </w:rPr>
            </w:pPr>
          </w:p>
        </w:tc>
        <w:tc>
          <w:tcPr>
            <w:tcW w:w="5528" w:type="dxa"/>
            <w:tcBorders>
              <w:top w:val="single" w:sz="4" w:space="0" w:color="auto"/>
              <w:left w:val="single" w:sz="4" w:space="0" w:color="auto"/>
              <w:bottom w:val="single" w:sz="4" w:space="0" w:color="auto"/>
              <w:right w:val="single" w:sz="4" w:space="0" w:color="auto"/>
            </w:tcBorders>
            <w:hideMark/>
          </w:tcPr>
          <w:p w14:paraId="1448741A" w14:textId="77777777" w:rsidR="00D361D0" w:rsidRDefault="00D361D0" w:rsidP="00C93AE6">
            <w:pPr>
              <w:pStyle w:val="list1"/>
              <w:numPr>
                <w:ilvl w:val="0"/>
                <w:numId w:val="0"/>
              </w:numPr>
            </w:pPr>
            <w:r>
              <w:t>Hewison Reserve</w:t>
            </w:r>
          </w:p>
        </w:tc>
      </w:tr>
      <w:tr w:rsidR="00D361D0" w14:paraId="72DFEFEE" w14:textId="77777777" w:rsidTr="00D361D0">
        <w:tc>
          <w:tcPr>
            <w:tcW w:w="2972" w:type="dxa"/>
            <w:vMerge/>
            <w:tcBorders>
              <w:left w:val="single" w:sz="4" w:space="0" w:color="auto"/>
              <w:right w:val="single" w:sz="4" w:space="0" w:color="auto"/>
            </w:tcBorders>
          </w:tcPr>
          <w:p w14:paraId="610E9036" w14:textId="77777777" w:rsidR="00D361D0" w:rsidRPr="00D361D0" w:rsidRDefault="00D361D0" w:rsidP="00C93AE6">
            <w:pPr>
              <w:pStyle w:val="list1"/>
              <w:numPr>
                <w:ilvl w:val="0"/>
                <w:numId w:val="0"/>
              </w:numPr>
              <w:rPr>
                <w:rFonts w:ascii="Calibri" w:hAnsi="Calibri"/>
                <w:i/>
                <w:color w:val="000000"/>
                <w:lang w:eastAsia="en-AU"/>
              </w:rPr>
            </w:pPr>
          </w:p>
        </w:tc>
        <w:tc>
          <w:tcPr>
            <w:tcW w:w="5528" w:type="dxa"/>
            <w:tcBorders>
              <w:top w:val="single" w:sz="4" w:space="0" w:color="auto"/>
              <w:left w:val="single" w:sz="4" w:space="0" w:color="auto"/>
              <w:bottom w:val="single" w:sz="4" w:space="0" w:color="auto"/>
              <w:right w:val="single" w:sz="4" w:space="0" w:color="auto"/>
            </w:tcBorders>
            <w:hideMark/>
          </w:tcPr>
          <w:p w14:paraId="06BF45A8" w14:textId="77777777" w:rsidR="00D361D0" w:rsidRDefault="00D361D0" w:rsidP="00C93AE6">
            <w:pPr>
              <w:pStyle w:val="list1"/>
              <w:numPr>
                <w:ilvl w:val="0"/>
                <w:numId w:val="0"/>
              </w:numPr>
            </w:pPr>
            <w:r>
              <w:rPr>
                <w:rFonts w:ascii="Calibri" w:hAnsi="Calibri"/>
                <w:color w:val="000000"/>
                <w:lang w:eastAsia="en-AU"/>
              </w:rPr>
              <w:t>Lagoon Reserve</w:t>
            </w:r>
          </w:p>
        </w:tc>
      </w:tr>
      <w:tr w:rsidR="00D361D0" w14:paraId="6A20CEC0" w14:textId="77777777" w:rsidTr="00D361D0">
        <w:tc>
          <w:tcPr>
            <w:tcW w:w="2972" w:type="dxa"/>
            <w:vMerge/>
            <w:tcBorders>
              <w:left w:val="single" w:sz="4" w:space="0" w:color="auto"/>
              <w:right w:val="single" w:sz="4" w:space="0" w:color="auto"/>
            </w:tcBorders>
          </w:tcPr>
          <w:p w14:paraId="14047C9E" w14:textId="77777777" w:rsidR="00D361D0" w:rsidRPr="00D361D0" w:rsidRDefault="00D361D0" w:rsidP="00C93AE6">
            <w:pPr>
              <w:pStyle w:val="list1"/>
              <w:numPr>
                <w:ilvl w:val="0"/>
                <w:numId w:val="0"/>
              </w:numPr>
              <w:rPr>
                <w:rFonts w:ascii="Calibri" w:hAnsi="Calibri"/>
                <w:i/>
                <w:color w:val="000000"/>
                <w:lang w:eastAsia="en-AU"/>
              </w:rPr>
            </w:pPr>
          </w:p>
        </w:tc>
        <w:tc>
          <w:tcPr>
            <w:tcW w:w="5528" w:type="dxa"/>
            <w:tcBorders>
              <w:top w:val="single" w:sz="4" w:space="0" w:color="auto"/>
              <w:left w:val="single" w:sz="4" w:space="0" w:color="auto"/>
              <w:bottom w:val="single" w:sz="4" w:space="0" w:color="auto"/>
              <w:right w:val="single" w:sz="4" w:space="0" w:color="auto"/>
            </w:tcBorders>
            <w:hideMark/>
          </w:tcPr>
          <w:p w14:paraId="0B2D7652" w14:textId="77777777" w:rsidR="00D361D0" w:rsidRDefault="00D361D0" w:rsidP="00C93AE6">
            <w:pPr>
              <w:pStyle w:val="list1"/>
              <w:numPr>
                <w:ilvl w:val="0"/>
                <w:numId w:val="0"/>
              </w:numPr>
            </w:pPr>
            <w:r>
              <w:rPr>
                <w:rFonts w:ascii="Calibri" w:hAnsi="Calibri"/>
                <w:color w:val="000000"/>
                <w:lang w:eastAsia="en-AU"/>
              </w:rPr>
              <w:t>Plum Garland Park and Playground</w:t>
            </w:r>
          </w:p>
        </w:tc>
      </w:tr>
      <w:tr w:rsidR="00D361D0" w14:paraId="56625211" w14:textId="77777777" w:rsidTr="00D361D0">
        <w:tc>
          <w:tcPr>
            <w:tcW w:w="2972" w:type="dxa"/>
            <w:vMerge/>
            <w:tcBorders>
              <w:left w:val="single" w:sz="4" w:space="0" w:color="auto"/>
              <w:right w:val="single" w:sz="4" w:space="0" w:color="auto"/>
            </w:tcBorders>
          </w:tcPr>
          <w:p w14:paraId="07A886FA" w14:textId="77777777" w:rsidR="00D361D0" w:rsidRPr="00D361D0" w:rsidRDefault="00D361D0" w:rsidP="00C93AE6">
            <w:pPr>
              <w:pStyle w:val="list1"/>
              <w:numPr>
                <w:ilvl w:val="0"/>
                <w:numId w:val="0"/>
              </w:numPr>
              <w:rPr>
                <w:rFonts w:ascii="Calibri" w:hAnsi="Calibri"/>
                <w:i/>
                <w:color w:val="000000"/>
                <w:lang w:eastAsia="en-AU"/>
              </w:rPr>
            </w:pPr>
          </w:p>
        </w:tc>
        <w:tc>
          <w:tcPr>
            <w:tcW w:w="5528" w:type="dxa"/>
            <w:tcBorders>
              <w:top w:val="single" w:sz="4" w:space="0" w:color="auto"/>
              <w:left w:val="single" w:sz="4" w:space="0" w:color="auto"/>
              <w:bottom w:val="single" w:sz="4" w:space="0" w:color="auto"/>
              <w:right w:val="single" w:sz="4" w:space="0" w:color="auto"/>
            </w:tcBorders>
            <w:hideMark/>
          </w:tcPr>
          <w:p w14:paraId="674ED586" w14:textId="77777777" w:rsidR="00D361D0" w:rsidRDefault="00D361D0" w:rsidP="00C93AE6">
            <w:pPr>
              <w:pStyle w:val="list1"/>
              <w:numPr>
                <w:ilvl w:val="0"/>
                <w:numId w:val="0"/>
              </w:numPr>
            </w:pPr>
            <w:r>
              <w:rPr>
                <w:rFonts w:ascii="Calibri" w:hAnsi="Calibri"/>
                <w:color w:val="000000"/>
                <w:lang w:eastAsia="en-AU"/>
              </w:rPr>
              <w:t>Port Melbourne Beach</w:t>
            </w:r>
          </w:p>
        </w:tc>
      </w:tr>
      <w:tr w:rsidR="00D361D0" w14:paraId="0AFA5818" w14:textId="77777777" w:rsidTr="00D361D0">
        <w:tc>
          <w:tcPr>
            <w:tcW w:w="2972" w:type="dxa"/>
            <w:vMerge/>
            <w:tcBorders>
              <w:left w:val="single" w:sz="4" w:space="0" w:color="auto"/>
              <w:right w:val="single" w:sz="4" w:space="0" w:color="auto"/>
            </w:tcBorders>
          </w:tcPr>
          <w:p w14:paraId="14F32E98" w14:textId="77777777" w:rsidR="00D361D0" w:rsidRPr="00D361D0" w:rsidRDefault="00D361D0" w:rsidP="00C93AE6">
            <w:pPr>
              <w:pStyle w:val="list1"/>
              <w:numPr>
                <w:ilvl w:val="0"/>
                <w:numId w:val="0"/>
              </w:numPr>
              <w:rPr>
                <w:rFonts w:ascii="Calibri" w:hAnsi="Calibri"/>
                <w:i/>
                <w:color w:val="000000"/>
                <w:lang w:eastAsia="en-AU"/>
              </w:rPr>
            </w:pPr>
          </w:p>
        </w:tc>
        <w:tc>
          <w:tcPr>
            <w:tcW w:w="5528" w:type="dxa"/>
            <w:tcBorders>
              <w:top w:val="single" w:sz="4" w:space="0" w:color="auto"/>
              <w:left w:val="single" w:sz="4" w:space="0" w:color="auto"/>
              <w:bottom w:val="single" w:sz="4" w:space="0" w:color="auto"/>
              <w:right w:val="single" w:sz="4" w:space="0" w:color="auto"/>
            </w:tcBorders>
            <w:hideMark/>
          </w:tcPr>
          <w:p w14:paraId="504F3D95" w14:textId="77777777" w:rsidR="00D361D0" w:rsidRDefault="00D361D0" w:rsidP="00C93AE6">
            <w:pPr>
              <w:pStyle w:val="list1"/>
              <w:numPr>
                <w:ilvl w:val="0"/>
                <w:numId w:val="0"/>
              </w:numPr>
            </w:pPr>
            <w:r>
              <w:rPr>
                <w:rFonts w:ascii="Calibri" w:hAnsi="Calibri"/>
                <w:color w:val="000000"/>
                <w:lang w:eastAsia="en-AU"/>
              </w:rPr>
              <w:t xml:space="preserve">South Melbourne Beach </w:t>
            </w:r>
          </w:p>
        </w:tc>
      </w:tr>
      <w:tr w:rsidR="00D361D0" w14:paraId="20E3617D" w14:textId="77777777" w:rsidTr="00D361D0">
        <w:tc>
          <w:tcPr>
            <w:tcW w:w="2972" w:type="dxa"/>
            <w:vMerge/>
            <w:tcBorders>
              <w:left w:val="single" w:sz="4" w:space="0" w:color="auto"/>
              <w:right w:val="single" w:sz="4" w:space="0" w:color="auto"/>
            </w:tcBorders>
          </w:tcPr>
          <w:p w14:paraId="411257D3" w14:textId="77777777" w:rsidR="00D361D0" w:rsidRPr="00D361D0" w:rsidRDefault="00D361D0" w:rsidP="00C93AE6">
            <w:pPr>
              <w:pStyle w:val="list1"/>
              <w:numPr>
                <w:ilvl w:val="0"/>
                <w:numId w:val="0"/>
              </w:numPr>
              <w:rPr>
                <w:rFonts w:ascii="Calibri" w:hAnsi="Calibri"/>
                <w:i/>
                <w:color w:val="000000"/>
                <w:lang w:eastAsia="en-AU"/>
              </w:rPr>
            </w:pPr>
          </w:p>
        </w:tc>
        <w:tc>
          <w:tcPr>
            <w:tcW w:w="5528" w:type="dxa"/>
            <w:tcBorders>
              <w:top w:val="single" w:sz="4" w:space="0" w:color="auto"/>
              <w:left w:val="single" w:sz="4" w:space="0" w:color="auto"/>
              <w:bottom w:val="single" w:sz="4" w:space="0" w:color="auto"/>
              <w:right w:val="single" w:sz="4" w:space="0" w:color="auto"/>
            </w:tcBorders>
            <w:hideMark/>
          </w:tcPr>
          <w:p w14:paraId="77C021F3" w14:textId="77777777" w:rsidR="00D361D0" w:rsidRDefault="00D361D0" w:rsidP="00C93AE6">
            <w:pPr>
              <w:pStyle w:val="list1"/>
              <w:numPr>
                <w:ilvl w:val="0"/>
                <w:numId w:val="0"/>
              </w:numPr>
            </w:pPr>
            <w:r>
              <w:rPr>
                <w:rFonts w:ascii="Calibri" w:hAnsi="Calibri"/>
                <w:color w:val="000000"/>
                <w:lang w:eastAsia="en-AU"/>
              </w:rPr>
              <w:t xml:space="preserve">Moran Reserve </w:t>
            </w:r>
          </w:p>
        </w:tc>
      </w:tr>
      <w:tr w:rsidR="00D361D0" w14:paraId="1844B2AD" w14:textId="77777777" w:rsidTr="00D361D0">
        <w:tc>
          <w:tcPr>
            <w:tcW w:w="2972" w:type="dxa"/>
            <w:vMerge/>
            <w:tcBorders>
              <w:left w:val="single" w:sz="4" w:space="0" w:color="auto"/>
              <w:right w:val="single" w:sz="4" w:space="0" w:color="auto"/>
            </w:tcBorders>
          </w:tcPr>
          <w:p w14:paraId="4E1FB5C7" w14:textId="77777777" w:rsidR="00D361D0" w:rsidRPr="00D361D0" w:rsidRDefault="00D361D0" w:rsidP="00C93AE6">
            <w:pPr>
              <w:pStyle w:val="list1"/>
              <w:numPr>
                <w:ilvl w:val="0"/>
                <w:numId w:val="0"/>
              </w:numPr>
              <w:rPr>
                <w:rFonts w:ascii="Calibri" w:hAnsi="Calibri"/>
                <w:i/>
                <w:color w:val="000000"/>
                <w:lang w:eastAsia="en-AU"/>
              </w:rPr>
            </w:pPr>
          </w:p>
        </w:tc>
        <w:tc>
          <w:tcPr>
            <w:tcW w:w="5528" w:type="dxa"/>
            <w:tcBorders>
              <w:top w:val="single" w:sz="4" w:space="0" w:color="auto"/>
              <w:left w:val="single" w:sz="4" w:space="0" w:color="auto"/>
              <w:bottom w:val="single" w:sz="4" w:space="0" w:color="auto"/>
              <w:right w:val="single" w:sz="4" w:space="0" w:color="auto"/>
            </w:tcBorders>
            <w:hideMark/>
          </w:tcPr>
          <w:p w14:paraId="318D6411" w14:textId="77777777" w:rsidR="00D361D0" w:rsidRDefault="00D361D0" w:rsidP="00C93AE6">
            <w:pPr>
              <w:pStyle w:val="list1"/>
              <w:numPr>
                <w:ilvl w:val="0"/>
                <w:numId w:val="0"/>
              </w:numPr>
            </w:pPr>
            <w:r>
              <w:rPr>
                <w:rFonts w:ascii="Calibri" w:hAnsi="Calibri"/>
                <w:color w:val="000000"/>
                <w:lang w:eastAsia="en-AU"/>
              </w:rPr>
              <w:t>Maritime Cove Park</w:t>
            </w:r>
          </w:p>
        </w:tc>
      </w:tr>
      <w:tr w:rsidR="00D361D0" w14:paraId="17CEE381" w14:textId="77777777" w:rsidTr="00D361D0">
        <w:tc>
          <w:tcPr>
            <w:tcW w:w="2972" w:type="dxa"/>
            <w:vMerge/>
            <w:tcBorders>
              <w:left w:val="single" w:sz="4" w:space="0" w:color="auto"/>
              <w:right w:val="single" w:sz="4" w:space="0" w:color="auto"/>
            </w:tcBorders>
          </w:tcPr>
          <w:p w14:paraId="303555CE" w14:textId="77777777" w:rsidR="00D361D0" w:rsidRPr="00D361D0" w:rsidRDefault="00D361D0" w:rsidP="00C93AE6">
            <w:pPr>
              <w:pStyle w:val="list1"/>
              <w:numPr>
                <w:ilvl w:val="0"/>
                <w:numId w:val="0"/>
              </w:numPr>
              <w:rPr>
                <w:rFonts w:ascii="Calibri" w:hAnsi="Calibri"/>
                <w:i/>
                <w:color w:val="000000"/>
                <w:lang w:eastAsia="en-AU"/>
              </w:rPr>
            </w:pPr>
          </w:p>
        </w:tc>
        <w:tc>
          <w:tcPr>
            <w:tcW w:w="5528" w:type="dxa"/>
            <w:tcBorders>
              <w:top w:val="single" w:sz="4" w:space="0" w:color="auto"/>
              <w:left w:val="single" w:sz="4" w:space="0" w:color="auto"/>
              <w:bottom w:val="single" w:sz="4" w:space="0" w:color="auto"/>
              <w:right w:val="single" w:sz="4" w:space="0" w:color="auto"/>
            </w:tcBorders>
            <w:hideMark/>
          </w:tcPr>
          <w:p w14:paraId="09297DE1" w14:textId="77777777" w:rsidR="00D361D0" w:rsidRDefault="00D361D0" w:rsidP="00C93AE6">
            <w:pPr>
              <w:pStyle w:val="list1"/>
              <w:numPr>
                <w:ilvl w:val="0"/>
                <w:numId w:val="0"/>
              </w:numPr>
            </w:pPr>
            <w:r>
              <w:rPr>
                <w:rFonts w:ascii="Calibri" w:hAnsi="Calibri"/>
                <w:color w:val="000000"/>
                <w:lang w:eastAsia="en-AU"/>
              </w:rPr>
              <w:t>East Street Garden</w:t>
            </w:r>
          </w:p>
        </w:tc>
      </w:tr>
      <w:tr w:rsidR="00D361D0" w14:paraId="3B4D2028" w14:textId="77777777" w:rsidTr="00D361D0">
        <w:tc>
          <w:tcPr>
            <w:tcW w:w="2972" w:type="dxa"/>
            <w:vMerge/>
            <w:tcBorders>
              <w:left w:val="single" w:sz="4" w:space="0" w:color="auto"/>
              <w:right w:val="single" w:sz="4" w:space="0" w:color="auto"/>
            </w:tcBorders>
          </w:tcPr>
          <w:p w14:paraId="5A202FBF" w14:textId="77777777" w:rsidR="00D361D0" w:rsidRPr="00D361D0" w:rsidRDefault="00D361D0" w:rsidP="00C93AE6">
            <w:pPr>
              <w:pStyle w:val="list1"/>
              <w:numPr>
                <w:ilvl w:val="0"/>
                <w:numId w:val="0"/>
              </w:numPr>
              <w:rPr>
                <w:rFonts w:ascii="Calibri" w:hAnsi="Calibri"/>
                <w:i/>
                <w:color w:val="000000"/>
                <w:lang w:eastAsia="en-AU"/>
              </w:rPr>
            </w:pPr>
          </w:p>
        </w:tc>
        <w:tc>
          <w:tcPr>
            <w:tcW w:w="5528" w:type="dxa"/>
            <w:tcBorders>
              <w:top w:val="single" w:sz="4" w:space="0" w:color="auto"/>
              <w:left w:val="single" w:sz="4" w:space="0" w:color="auto"/>
              <w:bottom w:val="single" w:sz="4" w:space="0" w:color="auto"/>
              <w:right w:val="single" w:sz="4" w:space="0" w:color="auto"/>
            </w:tcBorders>
            <w:hideMark/>
          </w:tcPr>
          <w:p w14:paraId="1FD4A1BA" w14:textId="77777777" w:rsidR="00D361D0" w:rsidRDefault="00D361D0" w:rsidP="00C93AE6">
            <w:pPr>
              <w:pStyle w:val="list1"/>
              <w:numPr>
                <w:ilvl w:val="0"/>
                <w:numId w:val="0"/>
              </w:numPr>
            </w:pPr>
            <w:r>
              <w:rPr>
                <w:rFonts w:ascii="Calibri" w:hAnsi="Calibri"/>
                <w:color w:val="000000"/>
                <w:lang w:eastAsia="en-AU"/>
              </w:rPr>
              <w:t>South Beach Reserve</w:t>
            </w:r>
          </w:p>
        </w:tc>
      </w:tr>
      <w:tr w:rsidR="00D361D0" w14:paraId="4233476E" w14:textId="77777777" w:rsidTr="00D361D0">
        <w:tc>
          <w:tcPr>
            <w:tcW w:w="2972" w:type="dxa"/>
            <w:vMerge/>
            <w:tcBorders>
              <w:left w:val="single" w:sz="4" w:space="0" w:color="auto"/>
              <w:bottom w:val="single" w:sz="4" w:space="0" w:color="auto"/>
              <w:right w:val="single" w:sz="4" w:space="0" w:color="auto"/>
            </w:tcBorders>
          </w:tcPr>
          <w:p w14:paraId="18D7723B" w14:textId="77777777" w:rsidR="00D361D0" w:rsidRPr="00D361D0" w:rsidRDefault="00D361D0" w:rsidP="00C93AE6">
            <w:pPr>
              <w:pStyle w:val="list1"/>
              <w:numPr>
                <w:ilvl w:val="0"/>
                <w:numId w:val="0"/>
              </w:numPr>
              <w:rPr>
                <w:rFonts w:ascii="Calibri" w:hAnsi="Calibri"/>
                <w:i/>
                <w:color w:val="000000"/>
                <w:lang w:eastAsia="en-AU"/>
              </w:rPr>
            </w:pPr>
          </w:p>
        </w:tc>
        <w:tc>
          <w:tcPr>
            <w:tcW w:w="5528" w:type="dxa"/>
            <w:tcBorders>
              <w:top w:val="single" w:sz="4" w:space="0" w:color="auto"/>
              <w:left w:val="single" w:sz="4" w:space="0" w:color="auto"/>
              <w:bottom w:val="single" w:sz="4" w:space="0" w:color="auto"/>
              <w:right w:val="single" w:sz="4" w:space="0" w:color="auto"/>
            </w:tcBorders>
            <w:hideMark/>
          </w:tcPr>
          <w:p w14:paraId="1C45F0CA" w14:textId="77777777" w:rsidR="00D361D0" w:rsidRDefault="00D361D0" w:rsidP="00C93AE6">
            <w:pPr>
              <w:pStyle w:val="list1"/>
              <w:numPr>
                <w:ilvl w:val="0"/>
                <w:numId w:val="0"/>
              </w:numPr>
            </w:pPr>
            <w:r>
              <w:rPr>
                <w:rFonts w:ascii="Calibri" w:hAnsi="Calibri"/>
                <w:color w:val="000000"/>
                <w:lang w:eastAsia="en-AU"/>
              </w:rPr>
              <w:t>Elwood Park</w:t>
            </w:r>
          </w:p>
        </w:tc>
      </w:tr>
      <w:tr w:rsidR="00C93AE6" w14:paraId="676304E5" w14:textId="77777777" w:rsidTr="00D361D0">
        <w:tc>
          <w:tcPr>
            <w:tcW w:w="2972" w:type="dxa"/>
            <w:tcBorders>
              <w:top w:val="single" w:sz="4" w:space="0" w:color="auto"/>
              <w:left w:val="single" w:sz="4" w:space="0" w:color="auto"/>
              <w:bottom w:val="single" w:sz="4" w:space="0" w:color="auto"/>
              <w:right w:val="single" w:sz="4" w:space="0" w:color="auto"/>
            </w:tcBorders>
            <w:hideMark/>
          </w:tcPr>
          <w:p w14:paraId="7B606CDB" w14:textId="77777777" w:rsidR="00C93AE6" w:rsidRPr="00D361D0" w:rsidRDefault="00C93AE6" w:rsidP="00C93AE6">
            <w:pPr>
              <w:pStyle w:val="list1"/>
              <w:numPr>
                <w:ilvl w:val="0"/>
                <w:numId w:val="0"/>
              </w:numPr>
              <w:rPr>
                <w:i/>
              </w:rPr>
            </w:pPr>
            <w:r w:rsidRPr="00D361D0">
              <w:rPr>
                <w:i/>
              </w:rPr>
              <w:t>Community facilities</w:t>
            </w:r>
          </w:p>
        </w:tc>
        <w:tc>
          <w:tcPr>
            <w:tcW w:w="5528" w:type="dxa"/>
            <w:tcBorders>
              <w:top w:val="single" w:sz="4" w:space="0" w:color="auto"/>
              <w:left w:val="single" w:sz="4" w:space="0" w:color="auto"/>
              <w:bottom w:val="single" w:sz="4" w:space="0" w:color="auto"/>
              <w:right w:val="single" w:sz="4" w:space="0" w:color="auto"/>
            </w:tcBorders>
            <w:hideMark/>
          </w:tcPr>
          <w:p w14:paraId="3D3CFA81" w14:textId="77777777" w:rsidR="00C93AE6" w:rsidRDefault="00C93AE6" w:rsidP="00C93AE6">
            <w:pPr>
              <w:pStyle w:val="list1"/>
              <w:numPr>
                <w:ilvl w:val="0"/>
                <w:numId w:val="0"/>
              </w:numPr>
            </w:pPr>
            <w:r>
              <w:t xml:space="preserve">Veg Out community gardens (Shakespeare Grove) </w:t>
            </w:r>
          </w:p>
        </w:tc>
      </w:tr>
      <w:tr w:rsidR="00AE46B3" w14:paraId="58D85283" w14:textId="77777777" w:rsidTr="00243B0B">
        <w:tc>
          <w:tcPr>
            <w:tcW w:w="2972" w:type="dxa"/>
            <w:vMerge w:val="restart"/>
            <w:hideMark/>
          </w:tcPr>
          <w:p w14:paraId="11C0EEE2" w14:textId="77777777" w:rsidR="00AE46B3" w:rsidRPr="00D361D0" w:rsidRDefault="00AE46B3" w:rsidP="00243B0B">
            <w:pPr>
              <w:pStyle w:val="list1"/>
              <w:numPr>
                <w:ilvl w:val="0"/>
                <w:numId w:val="0"/>
              </w:numPr>
              <w:rPr>
                <w:rFonts w:ascii="Calibri" w:hAnsi="Calibri"/>
                <w:i/>
                <w:color w:val="000000"/>
                <w:lang w:eastAsia="en-AU"/>
              </w:rPr>
            </w:pPr>
            <w:r w:rsidRPr="00D361D0">
              <w:rPr>
                <w:rFonts w:ascii="Calibri" w:hAnsi="Calibri"/>
                <w:i/>
                <w:color w:val="000000"/>
                <w:lang w:eastAsia="en-AU"/>
              </w:rPr>
              <w:t>Streetscapes/settings</w:t>
            </w:r>
          </w:p>
        </w:tc>
        <w:tc>
          <w:tcPr>
            <w:tcW w:w="5528" w:type="dxa"/>
            <w:hideMark/>
          </w:tcPr>
          <w:p w14:paraId="31991571" w14:textId="77777777" w:rsidR="00AE46B3" w:rsidRDefault="00AE46B3" w:rsidP="00243B0B">
            <w:pPr>
              <w:pStyle w:val="list1"/>
              <w:numPr>
                <w:ilvl w:val="0"/>
                <w:numId w:val="0"/>
              </w:numPr>
              <w:rPr>
                <w:rFonts w:ascii="Calibri" w:hAnsi="Calibri"/>
                <w:color w:val="000000"/>
                <w:lang w:eastAsia="en-AU"/>
              </w:rPr>
            </w:pPr>
            <w:r>
              <w:rPr>
                <w:rFonts w:ascii="Calibri" w:hAnsi="Calibri"/>
                <w:color w:val="000000"/>
                <w:lang w:eastAsia="en-AU"/>
              </w:rPr>
              <w:t>Beach Road and vistas</w:t>
            </w:r>
          </w:p>
        </w:tc>
      </w:tr>
      <w:tr w:rsidR="00AE46B3" w14:paraId="170BADDE" w14:textId="77777777" w:rsidTr="00243B0B">
        <w:tc>
          <w:tcPr>
            <w:tcW w:w="2972" w:type="dxa"/>
            <w:vMerge/>
          </w:tcPr>
          <w:p w14:paraId="7DE249D9" w14:textId="77777777" w:rsidR="00AE46B3" w:rsidRPr="00D361D0" w:rsidRDefault="00AE46B3" w:rsidP="00243B0B">
            <w:pPr>
              <w:pStyle w:val="list1"/>
              <w:numPr>
                <w:ilvl w:val="0"/>
                <w:numId w:val="0"/>
              </w:numPr>
              <w:rPr>
                <w:rFonts w:ascii="Calibri" w:hAnsi="Calibri"/>
                <w:i/>
                <w:color w:val="000000"/>
                <w:lang w:eastAsia="en-AU"/>
              </w:rPr>
            </w:pPr>
          </w:p>
        </w:tc>
        <w:tc>
          <w:tcPr>
            <w:tcW w:w="5528" w:type="dxa"/>
            <w:hideMark/>
          </w:tcPr>
          <w:p w14:paraId="6D37F700" w14:textId="77777777" w:rsidR="00AE46B3" w:rsidRDefault="00AE46B3" w:rsidP="00243B0B">
            <w:pPr>
              <w:pStyle w:val="list1"/>
              <w:numPr>
                <w:ilvl w:val="0"/>
                <w:numId w:val="0"/>
              </w:numPr>
              <w:rPr>
                <w:rFonts w:ascii="Calibri" w:hAnsi="Calibri"/>
                <w:color w:val="000000"/>
                <w:lang w:eastAsia="en-AU"/>
              </w:rPr>
            </w:pPr>
            <w:r>
              <w:rPr>
                <w:rFonts w:ascii="Calibri" w:hAnsi="Calibri"/>
                <w:color w:val="000000"/>
                <w:lang w:eastAsia="en-AU"/>
              </w:rPr>
              <w:t xml:space="preserve">St Kilda Junction </w:t>
            </w:r>
          </w:p>
        </w:tc>
      </w:tr>
      <w:tr w:rsidR="00AE46B3" w14:paraId="52BB296A" w14:textId="77777777" w:rsidTr="00243B0B">
        <w:tc>
          <w:tcPr>
            <w:tcW w:w="2972" w:type="dxa"/>
            <w:vMerge/>
          </w:tcPr>
          <w:p w14:paraId="3619E2A9" w14:textId="77777777" w:rsidR="00AE46B3" w:rsidRPr="00D361D0" w:rsidRDefault="00AE46B3" w:rsidP="00243B0B">
            <w:pPr>
              <w:pStyle w:val="list1"/>
              <w:numPr>
                <w:ilvl w:val="0"/>
                <w:numId w:val="0"/>
              </w:numPr>
              <w:rPr>
                <w:rFonts w:ascii="Calibri" w:hAnsi="Calibri"/>
                <w:i/>
                <w:color w:val="000000"/>
                <w:lang w:eastAsia="en-AU"/>
              </w:rPr>
            </w:pPr>
          </w:p>
        </w:tc>
        <w:tc>
          <w:tcPr>
            <w:tcW w:w="5528" w:type="dxa"/>
            <w:hideMark/>
          </w:tcPr>
          <w:p w14:paraId="1A192C0A" w14:textId="77777777" w:rsidR="00AE46B3" w:rsidRDefault="00AE46B3" w:rsidP="00243B0B">
            <w:pPr>
              <w:pStyle w:val="list1"/>
              <w:numPr>
                <w:ilvl w:val="0"/>
                <w:numId w:val="0"/>
              </w:numPr>
              <w:rPr>
                <w:rFonts w:ascii="Calibri" w:hAnsi="Calibri"/>
                <w:color w:val="000000"/>
                <w:lang w:eastAsia="en-AU"/>
              </w:rPr>
            </w:pPr>
            <w:r>
              <w:rPr>
                <w:rFonts w:ascii="Calibri" w:hAnsi="Calibri"/>
                <w:color w:val="000000"/>
                <w:lang w:eastAsia="en-AU"/>
              </w:rPr>
              <w:t xml:space="preserve">Monarch Lane </w:t>
            </w:r>
          </w:p>
        </w:tc>
      </w:tr>
      <w:tr w:rsidR="00AE46B3" w14:paraId="5A0F37CF" w14:textId="77777777" w:rsidTr="00243B0B">
        <w:tc>
          <w:tcPr>
            <w:tcW w:w="2972" w:type="dxa"/>
            <w:vMerge/>
          </w:tcPr>
          <w:p w14:paraId="7130A0AB" w14:textId="77777777" w:rsidR="00AE46B3" w:rsidRPr="00D361D0" w:rsidRDefault="00AE46B3" w:rsidP="00243B0B">
            <w:pPr>
              <w:pStyle w:val="list1"/>
              <w:numPr>
                <w:ilvl w:val="0"/>
                <w:numId w:val="0"/>
              </w:numPr>
              <w:rPr>
                <w:rFonts w:ascii="Calibri" w:hAnsi="Calibri"/>
                <w:i/>
                <w:color w:val="000000"/>
                <w:lang w:eastAsia="en-AU"/>
              </w:rPr>
            </w:pPr>
          </w:p>
        </w:tc>
        <w:tc>
          <w:tcPr>
            <w:tcW w:w="5528" w:type="dxa"/>
            <w:hideMark/>
          </w:tcPr>
          <w:p w14:paraId="7190C62A" w14:textId="77777777" w:rsidR="00AE46B3" w:rsidRDefault="00AE46B3" w:rsidP="00243B0B">
            <w:pPr>
              <w:pStyle w:val="list1"/>
              <w:numPr>
                <w:ilvl w:val="0"/>
                <w:numId w:val="0"/>
              </w:numPr>
              <w:rPr>
                <w:rFonts w:ascii="Calibri" w:hAnsi="Calibri"/>
                <w:color w:val="000000"/>
                <w:lang w:eastAsia="en-AU"/>
              </w:rPr>
            </w:pPr>
            <w:r>
              <w:rPr>
                <w:rFonts w:ascii="Calibri" w:hAnsi="Calibri"/>
                <w:color w:val="000000"/>
                <w:lang w:eastAsia="en-AU"/>
              </w:rPr>
              <w:t>Mirka Lane</w:t>
            </w:r>
          </w:p>
        </w:tc>
      </w:tr>
      <w:tr w:rsidR="00AB41BA" w14:paraId="7F55A243" w14:textId="77777777" w:rsidTr="00D361D0">
        <w:tc>
          <w:tcPr>
            <w:tcW w:w="2972" w:type="dxa"/>
            <w:vMerge w:val="restart"/>
            <w:tcBorders>
              <w:top w:val="single" w:sz="4" w:space="0" w:color="auto"/>
              <w:left w:val="single" w:sz="4" w:space="0" w:color="auto"/>
              <w:right w:val="single" w:sz="4" w:space="0" w:color="auto"/>
            </w:tcBorders>
            <w:hideMark/>
          </w:tcPr>
          <w:p w14:paraId="4A548D8D" w14:textId="77777777" w:rsidR="00AB41BA" w:rsidRPr="00D361D0" w:rsidRDefault="00AB41BA" w:rsidP="00C93AE6">
            <w:pPr>
              <w:pStyle w:val="list1"/>
              <w:numPr>
                <w:ilvl w:val="0"/>
                <w:numId w:val="0"/>
              </w:numPr>
              <w:rPr>
                <w:rFonts w:ascii="Calibri" w:hAnsi="Calibri"/>
                <w:i/>
                <w:color w:val="000000"/>
                <w:lang w:eastAsia="en-AU"/>
              </w:rPr>
            </w:pPr>
            <w:r w:rsidRPr="00D361D0">
              <w:rPr>
                <w:rFonts w:ascii="Calibri" w:hAnsi="Calibri"/>
                <w:i/>
                <w:color w:val="000000"/>
                <w:lang w:eastAsia="en-AU"/>
              </w:rPr>
              <w:t>Buildings/places</w:t>
            </w:r>
          </w:p>
        </w:tc>
        <w:tc>
          <w:tcPr>
            <w:tcW w:w="5528" w:type="dxa"/>
            <w:tcBorders>
              <w:top w:val="single" w:sz="4" w:space="0" w:color="auto"/>
              <w:left w:val="single" w:sz="4" w:space="0" w:color="auto"/>
              <w:bottom w:val="single" w:sz="4" w:space="0" w:color="auto"/>
              <w:right w:val="single" w:sz="4" w:space="0" w:color="auto"/>
            </w:tcBorders>
            <w:hideMark/>
          </w:tcPr>
          <w:p w14:paraId="28C742AD" w14:textId="7F80AA2F" w:rsidR="00AB41BA" w:rsidRDefault="00AD3E2C" w:rsidP="00C93AE6">
            <w:pPr>
              <w:pStyle w:val="list1"/>
              <w:numPr>
                <w:ilvl w:val="0"/>
                <w:numId w:val="0"/>
              </w:numPr>
              <w:rPr>
                <w:rFonts w:ascii="Calibri" w:hAnsi="Calibri"/>
                <w:color w:val="000000"/>
                <w:lang w:eastAsia="en-AU"/>
              </w:rPr>
            </w:pPr>
            <w:r>
              <w:rPr>
                <w:rFonts w:ascii="Calibri" w:hAnsi="Calibri"/>
                <w:color w:val="000000"/>
                <w:lang w:eastAsia="en-AU"/>
              </w:rPr>
              <w:t>Inkerman Hotel, 375 Inkerman Street, Balaclava</w:t>
            </w:r>
          </w:p>
        </w:tc>
      </w:tr>
      <w:tr w:rsidR="00AD3E2C" w14:paraId="54D32B50" w14:textId="77777777" w:rsidTr="00D361D0">
        <w:tc>
          <w:tcPr>
            <w:tcW w:w="2972" w:type="dxa"/>
            <w:vMerge/>
            <w:tcBorders>
              <w:top w:val="single" w:sz="4" w:space="0" w:color="auto"/>
              <w:left w:val="single" w:sz="4" w:space="0" w:color="auto"/>
              <w:right w:val="single" w:sz="4" w:space="0" w:color="auto"/>
            </w:tcBorders>
          </w:tcPr>
          <w:p w14:paraId="20F1F057" w14:textId="77777777" w:rsidR="00AD3E2C" w:rsidRPr="00D361D0" w:rsidRDefault="00AD3E2C" w:rsidP="00C93AE6">
            <w:pPr>
              <w:pStyle w:val="list1"/>
              <w:numPr>
                <w:ilvl w:val="0"/>
                <w:numId w:val="0"/>
              </w:numPr>
              <w:rPr>
                <w:rFonts w:ascii="Calibri" w:hAnsi="Calibri"/>
                <w:i/>
                <w:color w:val="000000"/>
                <w:lang w:eastAsia="en-AU"/>
              </w:rPr>
            </w:pPr>
          </w:p>
        </w:tc>
        <w:tc>
          <w:tcPr>
            <w:tcW w:w="5528" w:type="dxa"/>
            <w:tcBorders>
              <w:top w:val="single" w:sz="4" w:space="0" w:color="auto"/>
              <w:left w:val="single" w:sz="4" w:space="0" w:color="auto"/>
              <w:bottom w:val="single" w:sz="4" w:space="0" w:color="auto"/>
              <w:right w:val="single" w:sz="4" w:space="0" w:color="auto"/>
            </w:tcBorders>
          </w:tcPr>
          <w:p w14:paraId="7C9E0282" w14:textId="011489AB" w:rsidR="00AD3E2C" w:rsidRDefault="00AD3E2C" w:rsidP="00C93AE6">
            <w:pPr>
              <w:pStyle w:val="list1"/>
              <w:numPr>
                <w:ilvl w:val="0"/>
                <w:numId w:val="0"/>
              </w:numPr>
              <w:rPr>
                <w:rFonts w:ascii="Calibri" w:hAnsi="Calibri"/>
                <w:color w:val="000000"/>
                <w:lang w:eastAsia="en-AU"/>
              </w:rPr>
            </w:pPr>
            <w:bookmarkStart w:id="77" w:name="_Hlk522610180"/>
            <w:r>
              <w:rPr>
                <w:rFonts w:ascii="Calibri" w:hAnsi="Calibri"/>
                <w:color w:val="000000"/>
                <w:lang w:eastAsia="en-AU"/>
              </w:rPr>
              <w:t>Jewish heritage of the St Kilda area</w:t>
            </w:r>
            <w:bookmarkEnd w:id="77"/>
          </w:p>
        </w:tc>
      </w:tr>
      <w:tr w:rsidR="00572C8C" w14:paraId="4ACA75B7" w14:textId="77777777" w:rsidTr="00D361D0">
        <w:tc>
          <w:tcPr>
            <w:tcW w:w="2972" w:type="dxa"/>
            <w:vMerge/>
            <w:tcBorders>
              <w:top w:val="single" w:sz="4" w:space="0" w:color="auto"/>
              <w:left w:val="single" w:sz="4" w:space="0" w:color="auto"/>
              <w:right w:val="single" w:sz="4" w:space="0" w:color="auto"/>
            </w:tcBorders>
          </w:tcPr>
          <w:p w14:paraId="757FBDC2" w14:textId="77777777" w:rsidR="00572C8C" w:rsidRPr="00D361D0" w:rsidRDefault="00572C8C" w:rsidP="00C93AE6">
            <w:pPr>
              <w:pStyle w:val="list1"/>
              <w:numPr>
                <w:ilvl w:val="0"/>
                <w:numId w:val="0"/>
              </w:numPr>
              <w:rPr>
                <w:rFonts w:ascii="Calibri" w:hAnsi="Calibri"/>
                <w:i/>
                <w:color w:val="000000"/>
                <w:lang w:eastAsia="en-AU"/>
              </w:rPr>
            </w:pPr>
          </w:p>
        </w:tc>
        <w:tc>
          <w:tcPr>
            <w:tcW w:w="5528" w:type="dxa"/>
            <w:tcBorders>
              <w:top w:val="single" w:sz="4" w:space="0" w:color="auto"/>
              <w:left w:val="single" w:sz="4" w:space="0" w:color="auto"/>
              <w:bottom w:val="single" w:sz="4" w:space="0" w:color="auto"/>
              <w:right w:val="single" w:sz="4" w:space="0" w:color="auto"/>
            </w:tcBorders>
          </w:tcPr>
          <w:p w14:paraId="409FBAB5" w14:textId="20F50B33" w:rsidR="00572C8C" w:rsidRDefault="00572C8C" w:rsidP="00C93AE6">
            <w:pPr>
              <w:pStyle w:val="list1"/>
              <w:numPr>
                <w:ilvl w:val="0"/>
                <w:numId w:val="0"/>
              </w:numPr>
              <w:rPr>
                <w:rFonts w:ascii="Calibri" w:hAnsi="Calibri"/>
                <w:color w:val="000000"/>
                <w:lang w:eastAsia="en-AU"/>
              </w:rPr>
            </w:pPr>
            <w:r>
              <w:rPr>
                <w:rFonts w:ascii="Calibri" w:hAnsi="Calibri"/>
                <w:color w:val="000000"/>
                <w:lang w:eastAsia="en-AU"/>
              </w:rPr>
              <w:t>Brookes Jetty</w:t>
            </w:r>
          </w:p>
        </w:tc>
      </w:tr>
      <w:tr w:rsidR="00AB41BA" w14:paraId="276C4CB7" w14:textId="77777777" w:rsidTr="00D361D0">
        <w:tc>
          <w:tcPr>
            <w:tcW w:w="2972" w:type="dxa"/>
            <w:vMerge/>
            <w:tcBorders>
              <w:left w:val="single" w:sz="4" w:space="0" w:color="auto"/>
              <w:right w:val="single" w:sz="4" w:space="0" w:color="auto"/>
            </w:tcBorders>
          </w:tcPr>
          <w:p w14:paraId="133EE61E" w14:textId="77777777" w:rsidR="00AB41BA" w:rsidRPr="00D361D0" w:rsidRDefault="00AB41BA" w:rsidP="00C93AE6">
            <w:pPr>
              <w:pStyle w:val="list1"/>
              <w:numPr>
                <w:ilvl w:val="0"/>
                <w:numId w:val="0"/>
              </w:numPr>
              <w:rPr>
                <w:rFonts w:ascii="Calibri" w:hAnsi="Calibri"/>
                <w:i/>
                <w:color w:val="000000"/>
                <w:lang w:eastAsia="en-AU"/>
              </w:rPr>
            </w:pPr>
          </w:p>
        </w:tc>
        <w:tc>
          <w:tcPr>
            <w:tcW w:w="5528" w:type="dxa"/>
            <w:tcBorders>
              <w:top w:val="single" w:sz="4" w:space="0" w:color="auto"/>
              <w:left w:val="single" w:sz="4" w:space="0" w:color="auto"/>
              <w:bottom w:val="single" w:sz="4" w:space="0" w:color="auto"/>
              <w:right w:val="single" w:sz="4" w:space="0" w:color="auto"/>
            </w:tcBorders>
            <w:hideMark/>
          </w:tcPr>
          <w:p w14:paraId="6F0ED773" w14:textId="0DD24173" w:rsidR="00AB41BA" w:rsidRDefault="00AB41BA" w:rsidP="00C93AE6">
            <w:pPr>
              <w:pStyle w:val="list1"/>
              <w:numPr>
                <w:ilvl w:val="0"/>
                <w:numId w:val="0"/>
              </w:numPr>
              <w:rPr>
                <w:rFonts w:ascii="Calibri" w:hAnsi="Calibri"/>
                <w:color w:val="000000"/>
                <w:lang w:eastAsia="en-AU"/>
              </w:rPr>
            </w:pPr>
            <w:r>
              <w:rPr>
                <w:rFonts w:ascii="Calibri" w:hAnsi="Calibri"/>
                <w:color w:val="000000"/>
                <w:lang w:eastAsia="en-AU"/>
              </w:rPr>
              <w:t xml:space="preserve">South Melbourne Life Saving Club </w:t>
            </w:r>
          </w:p>
        </w:tc>
      </w:tr>
      <w:tr w:rsidR="00AB41BA" w14:paraId="4CD5EE81" w14:textId="77777777" w:rsidTr="00D361D0">
        <w:tc>
          <w:tcPr>
            <w:tcW w:w="2972" w:type="dxa"/>
            <w:vMerge/>
            <w:tcBorders>
              <w:left w:val="single" w:sz="4" w:space="0" w:color="auto"/>
              <w:right w:val="single" w:sz="4" w:space="0" w:color="auto"/>
            </w:tcBorders>
          </w:tcPr>
          <w:p w14:paraId="00C7DEBA" w14:textId="77777777" w:rsidR="00AB41BA" w:rsidRPr="00D361D0" w:rsidRDefault="00AB41BA" w:rsidP="00C93AE6">
            <w:pPr>
              <w:pStyle w:val="list1"/>
              <w:numPr>
                <w:ilvl w:val="0"/>
                <w:numId w:val="0"/>
              </w:numPr>
              <w:rPr>
                <w:rFonts w:ascii="Calibri" w:hAnsi="Calibri"/>
                <w:i/>
                <w:color w:val="000000"/>
                <w:lang w:eastAsia="en-AU"/>
              </w:rPr>
            </w:pPr>
          </w:p>
        </w:tc>
        <w:tc>
          <w:tcPr>
            <w:tcW w:w="5528" w:type="dxa"/>
            <w:tcBorders>
              <w:top w:val="single" w:sz="4" w:space="0" w:color="auto"/>
              <w:left w:val="single" w:sz="4" w:space="0" w:color="auto"/>
              <w:bottom w:val="single" w:sz="4" w:space="0" w:color="auto"/>
              <w:right w:val="single" w:sz="4" w:space="0" w:color="auto"/>
            </w:tcBorders>
            <w:hideMark/>
          </w:tcPr>
          <w:p w14:paraId="0EB83BAC" w14:textId="7AC73CAB" w:rsidR="00AB41BA" w:rsidRDefault="00AB41BA" w:rsidP="00C93AE6">
            <w:pPr>
              <w:pStyle w:val="list1"/>
              <w:numPr>
                <w:ilvl w:val="0"/>
                <w:numId w:val="0"/>
              </w:numPr>
              <w:rPr>
                <w:rFonts w:ascii="Calibri" w:hAnsi="Calibri"/>
                <w:color w:val="000000"/>
                <w:lang w:eastAsia="en-AU"/>
              </w:rPr>
            </w:pPr>
            <w:r>
              <w:rPr>
                <w:rFonts w:ascii="Calibri" w:hAnsi="Calibri"/>
                <w:color w:val="000000"/>
                <w:lang w:eastAsia="en-AU"/>
              </w:rPr>
              <w:t xml:space="preserve">Elwood Scout Hall, 85 Ormond Road, Elwood </w:t>
            </w:r>
          </w:p>
        </w:tc>
      </w:tr>
      <w:tr w:rsidR="00AB41BA" w14:paraId="126335B2" w14:textId="77777777" w:rsidTr="00D361D0">
        <w:tc>
          <w:tcPr>
            <w:tcW w:w="2972" w:type="dxa"/>
            <w:vMerge/>
            <w:tcBorders>
              <w:left w:val="single" w:sz="4" w:space="0" w:color="auto"/>
              <w:right w:val="single" w:sz="4" w:space="0" w:color="auto"/>
            </w:tcBorders>
          </w:tcPr>
          <w:p w14:paraId="462BB8F8" w14:textId="77777777" w:rsidR="00AB41BA" w:rsidRPr="00D361D0" w:rsidRDefault="00AB41BA" w:rsidP="00C93AE6">
            <w:pPr>
              <w:pStyle w:val="list1"/>
              <w:numPr>
                <w:ilvl w:val="0"/>
                <w:numId w:val="0"/>
              </w:numPr>
              <w:rPr>
                <w:rFonts w:ascii="Calibri" w:hAnsi="Calibri"/>
                <w:i/>
                <w:color w:val="000000"/>
                <w:lang w:eastAsia="en-AU"/>
              </w:rPr>
            </w:pPr>
          </w:p>
        </w:tc>
        <w:tc>
          <w:tcPr>
            <w:tcW w:w="5528" w:type="dxa"/>
            <w:tcBorders>
              <w:top w:val="single" w:sz="4" w:space="0" w:color="auto"/>
              <w:left w:val="single" w:sz="4" w:space="0" w:color="auto"/>
              <w:bottom w:val="single" w:sz="4" w:space="0" w:color="auto"/>
              <w:right w:val="single" w:sz="4" w:space="0" w:color="auto"/>
            </w:tcBorders>
            <w:hideMark/>
          </w:tcPr>
          <w:p w14:paraId="1663EC0C" w14:textId="74BE27EE" w:rsidR="00AB41BA" w:rsidRDefault="00AB41BA" w:rsidP="00C93AE6">
            <w:pPr>
              <w:pStyle w:val="list1"/>
              <w:numPr>
                <w:ilvl w:val="0"/>
                <w:numId w:val="0"/>
              </w:numPr>
              <w:rPr>
                <w:rFonts w:ascii="Calibri" w:hAnsi="Calibri"/>
                <w:color w:val="000000"/>
                <w:lang w:eastAsia="en-AU"/>
              </w:rPr>
            </w:pPr>
            <w:r>
              <w:rPr>
                <w:rFonts w:ascii="Calibri" w:hAnsi="Calibri"/>
                <w:color w:val="000000"/>
                <w:lang w:eastAsia="en-AU"/>
              </w:rPr>
              <w:t>Mandate, formerly Checkmates, formerly Sweethearts, 31 Carlisle Street</w:t>
            </w:r>
          </w:p>
        </w:tc>
      </w:tr>
      <w:tr w:rsidR="00AB41BA" w:rsidRPr="00C93AE6" w14:paraId="7A5262AF" w14:textId="77777777" w:rsidTr="00D361D0">
        <w:tc>
          <w:tcPr>
            <w:tcW w:w="2972" w:type="dxa"/>
            <w:vMerge/>
            <w:tcBorders>
              <w:left w:val="single" w:sz="4" w:space="0" w:color="auto"/>
              <w:right w:val="single" w:sz="4" w:space="0" w:color="auto"/>
            </w:tcBorders>
          </w:tcPr>
          <w:p w14:paraId="66A65D25" w14:textId="77777777" w:rsidR="00AB41BA" w:rsidRPr="00D361D0" w:rsidRDefault="00AB41BA" w:rsidP="00C93AE6">
            <w:pPr>
              <w:pStyle w:val="list1"/>
              <w:numPr>
                <w:ilvl w:val="0"/>
                <w:numId w:val="0"/>
              </w:numPr>
              <w:rPr>
                <w:rFonts w:ascii="Calibri" w:hAnsi="Calibri"/>
                <w:i/>
                <w:color w:val="000000"/>
                <w:lang w:eastAsia="en-AU"/>
              </w:rPr>
            </w:pPr>
          </w:p>
        </w:tc>
        <w:tc>
          <w:tcPr>
            <w:tcW w:w="5528" w:type="dxa"/>
            <w:tcBorders>
              <w:top w:val="single" w:sz="4" w:space="0" w:color="auto"/>
              <w:left w:val="single" w:sz="4" w:space="0" w:color="auto"/>
              <w:bottom w:val="single" w:sz="4" w:space="0" w:color="auto"/>
              <w:right w:val="single" w:sz="4" w:space="0" w:color="auto"/>
            </w:tcBorders>
            <w:hideMark/>
          </w:tcPr>
          <w:p w14:paraId="1750301C" w14:textId="57FCE58A" w:rsidR="00AB41BA" w:rsidRDefault="00AB41BA" w:rsidP="00C93AE6">
            <w:pPr>
              <w:pStyle w:val="list1"/>
              <w:numPr>
                <w:ilvl w:val="0"/>
                <w:numId w:val="0"/>
              </w:numPr>
              <w:rPr>
                <w:rFonts w:ascii="Calibri" w:hAnsi="Calibri"/>
                <w:color w:val="000000"/>
                <w:lang w:eastAsia="en-AU"/>
              </w:rPr>
            </w:pPr>
            <w:r>
              <w:rPr>
                <w:rFonts w:ascii="Calibri" w:hAnsi="Calibri"/>
                <w:color w:val="000000"/>
                <w:lang w:eastAsia="en-AU"/>
              </w:rPr>
              <w:t>Port Melbourne Tennis Club</w:t>
            </w:r>
          </w:p>
        </w:tc>
      </w:tr>
      <w:tr w:rsidR="00AB41BA" w14:paraId="2A631B20" w14:textId="77777777" w:rsidTr="00D361D0">
        <w:tc>
          <w:tcPr>
            <w:tcW w:w="2972" w:type="dxa"/>
            <w:vMerge/>
            <w:tcBorders>
              <w:left w:val="single" w:sz="4" w:space="0" w:color="auto"/>
              <w:right w:val="single" w:sz="4" w:space="0" w:color="auto"/>
            </w:tcBorders>
          </w:tcPr>
          <w:p w14:paraId="45A0BC79" w14:textId="77777777" w:rsidR="00AB41BA" w:rsidRPr="00D361D0" w:rsidRDefault="00AB41BA" w:rsidP="00C93AE6">
            <w:pPr>
              <w:pStyle w:val="list1"/>
              <w:numPr>
                <w:ilvl w:val="0"/>
                <w:numId w:val="0"/>
              </w:numPr>
              <w:rPr>
                <w:rFonts w:ascii="Calibri" w:hAnsi="Calibri"/>
                <w:i/>
                <w:color w:val="000000"/>
                <w:lang w:eastAsia="en-AU"/>
              </w:rPr>
            </w:pPr>
          </w:p>
        </w:tc>
        <w:tc>
          <w:tcPr>
            <w:tcW w:w="5528" w:type="dxa"/>
            <w:tcBorders>
              <w:top w:val="single" w:sz="4" w:space="0" w:color="auto"/>
              <w:left w:val="single" w:sz="4" w:space="0" w:color="auto"/>
              <w:bottom w:val="single" w:sz="4" w:space="0" w:color="auto"/>
              <w:right w:val="single" w:sz="4" w:space="0" w:color="auto"/>
            </w:tcBorders>
            <w:hideMark/>
          </w:tcPr>
          <w:p w14:paraId="426B532F" w14:textId="16869492" w:rsidR="00AB41BA" w:rsidRDefault="00AB41BA" w:rsidP="00C93AE6">
            <w:pPr>
              <w:pStyle w:val="list1"/>
              <w:numPr>
                <w:ilvl w:val="0"/>
                <w:numId w:val="0"/>
              </w:numPr>
              <w:rPr>
                <w:rFonts w:ascii="Calibri" w:hAnsi="Calibri"/>
                <w:color w:val="000000"/>
                <w:lang w:eastAsia="en-AU"/>
              </w:rPr>
            </w:pPr>
            <w:r>
              <w:rPr>
                <w:rFonts w:ascii="Calibri" w:hAnsi="Calibri"/>
                <w:color w:val="000000"/>
                <w:lang w:eastAsia="en-AU"/>
              </w:rPr>
              <w:t>Sandridge Life Saving Club</w:t>
            </w:r>
          </w:p>
        </w:tc>
      </w:tr>
      <w:tr w:rsidR="00572C8C" w:rsidRPr="0062442A" w14:paraId="1A9C61F7" w14:textId="77777777" w:rsidTr="00572C8C">
        <w:tc>
          <w:tcPr>
            <w:tcW w:w="2972" w:type="dxa"/>
            <w:vMerge w:val="restart"/>
            <w:hideMark/>
          </w:tcPr>
          <w:p w14:paraId="0FF3A10C" w14:textId="77777777" w:rsidR="00572C8C" w:rsidRPr="00D361D0" w:rsidRDefault="00572C8C" w:rsidP="00572C8C">
            <w:pPr>
              <w:pStyle w:val="list1"/>
              <w:numPr>
                <w:ilvl w:val="0"/>
                <w:numId w:val="0"/>
              </w:numPr>
              <w:rPr>
                <w:rFonts w:ascii="Calibri" w:hAnsi="Calibri"/>
                <w:i/>
                <w:color w:val="000000"/>
                <w:lang w:eastAsia="en-AU"/>
              </w:rPr>
            </w:pPr>
            <w:r w:rsidRPr="00D361D0">
              <w:rPr>
                <w:rFonts w:ascii="Calibri" w:hAnsi="Calibri"/>
                <w:i/>
                <w:color w:val="000000"/>
                <w:lang w:eastAsia="en-AU"/>
              </w:rPr>
              <w:t>Attributes/elements (not buildings)</w:t>
            </w:r>
          </w:p>
        </w:tc>
        <w:tc>
          <w:tcPr>
            <w:tcW w:w="5528" w:type="dxa"/>
            <w:hideMark/>
          </w:tcPr>
          <w:p w14:paraId="107604A2" w14:textId="77777777" w:rsidR="00572C8C" w:rsidRPr="0062442A" w:rsidRDefault="00572C8C" w:rsidP="00572C8C">
            <w:pPr>
              <w:pStyle w:val="list1"/>
              <w:numPr>
                <w:ilvl w:val="0"/>
                <w:numId w:val="0"/>
              </w:numPr>
              <w:rPr>
                <w:rFonts w:ascii="Calibri" w:hAnsi="Calibri"/>
                <w:color w:val="000000"/>
                <w:lang w:eastAsia="en-AU"/>
              </w:rPr>
            </w:pPr>
            <w:r>
              <w:rPr>
                <w:rFonts w:ascii="Calibri" w:hAnsi="Calibri"/>
                <w:color w:val="000000"/>
                <w:lang w:eastAsia="en-AU"/>
              </w:rPr>
              <w:t xml:space="preserve">Indigenous signs along the beach </w:t>
            </w:r>
          </w:p>
        </w:tc>
      </w:tr>
      <w:tr w:rsidR="00572C8C" w14:paraId="507951C9" w14:textId="77777777" w:rsidTr="00572C8C">
        <w:tc>
          <w:tcPr>
            <w:tcW w:w="2972" w:type="dxa"/>
            <w:vMerge/>
          </w:tcPr>
          <w:p w14:paraId="7C671386" w14:textId="77777777" w:rsidR="00572C8C" w:rsidRPr="00D361D0" w:rsidRDefault="00572C8C" w:rsidP="00572C8C">
            <w:pPr>
              <w:pStyle w:val="list1"/>
              <w:numPr>
                <w:ilvl w:val="0"/>
                <w:numId w:val="0"/>
              </w:numPr>
              <w:rPr>
                <w:rFonts w:ascii="Calibri" w:hAnsi="Calibri"/>
                <w:i/>
                <w:color w:val="000000"/>
                <w:lang w:eastAsia="en-AU"/>
              </w:rPr>
            </w:pPr>
          </w:p>
        </w:tc>
        <w:tc>
          <w:tcPr>
            <w:tcW w:w="5528" w:type="dxa"/>
            <w:hideMark/>
          </w:tcPr>
          <w:p w14:paraId="1964F0DF" w14:textId="77777777" w:rsidR="00572C8C" w:rsidRDefault="00572C8C" w:rsidP="00572C8C">
            <w:pPr>
              <w:pStyle w:val="list1"/>
              <w:numPr>
                <w:ilvl w:val="0"/>
                <w:numId w:val="0"/>
              </w:numPr>
            </w:pPr>
            <w:r>
              <w:rPr>
                <w:rFonts w:ascii="Calibri" w:hAnsi="Calibri"/>
                <w:color w:val="000000"/>
                <w:lang w:eastAsia="en-AU"/>
              </w:rPr>
              <w:t>Original enamel street names</w:t>
            </w:r>
          </w:p>
        </w:tc>
      </w:tr>
    </w:tbl>
    <w:p w14:paraId="4D6DFF9A" w14:textId="77777777" w:rsidR="00572C8C" w:rsidRPr="006A47F9" w:rsidRDefault="00572C8C" w:rsidP="006A47F9"/>
    <w:p w14:paraId="172A3C8F" w14:textId="4B7358FC" w:rsidR="00B93F7C" w:rsidRDefault="00B93F7C" w:rsidP="00B93F7C">
      <w:pPr>
        <w:pStyle w:val="Heading5"/>
        <w:rPr>
          <w:lang w:eastAsia="en-AU"/>
        </w:rPr>
      </w:pPr>
      <w:r>
        <w:rPr>
          <w:lang w:eastAsia="en-AU"/>
        </w:rPr>
        <w:t xml:space="preserve">Comment </w:t>
      </w:r>
    </w:p>
    <w:p w14:paraId="0FAC2EE4" w14:textId="77777777" w:rsidR="00BD1AD0" w:rsidRDefault="00BD1AD0" w:rsidP="00BD1AD0">
      <w:pPr>
        <w:pStyle w:val="list1"/>
        <w:numPr>
          <w:ilvl w:val="0"/>
          <w:numId w:val="0"/>
        </w:numPr>
        <w:tabs>
          <w:tab w:val="left" w:pos="720"/>
        </w:tabs>
      </w:pPr>
      <w:r>
        <w:t xml:space="preserve">Of the places that are not the subject of formal heritage controls, beaches, streetscapes, and public open spaces were among the most commonly-referenced typologies.  </w:t>
      </w:r>
    </w:p>
    <w:p w14:paraId="5B8FAC5B" w14:textId="77777777" w:rsidR="00BD1AD0" w:rsidRDefault="00BD1AD0" w:rsidP="00BD1AD0">
      <w:pPr>
        <w:pStyle w:val="list1"/>
        <w:numPr>
          <w:ilvl w:val="0"/>
          <w:numId w:val="0"/>
        </w:numPr>
        <w:tabs>
          <w:tab w:val="left" w:pos="720"/>
        </w:tabs>
      </w:pPr>
      <w:r>
        <w:t xml:space="preserve">Also, as noted in Table 2, an underpinning rationale for the identification of many of these places relates to use, experience and amenity.  These issues fall outside existing models of heritage management and practice and are typically managed by non-heritage related Council services and disciplines.  </w:t>
      </w:r>
    </w:p>
    <w:p w14:paraId="31D3FC7F" w14:textId="77777777" w:rsidR="00BD1AD0" w:rsidRDefault="00BD1AD0" w:rsidP="00BD1AD0">
      <w:pPr>
        <w:pStyle w:val="list1"/>
        <w:numPr>
          <w:ilvl w:val="0"/>
          <w:numId w:val="0"/>
        </w:numPr>
        <w:tabs>
          <w:tab w:val="left" w:pos="720"/>
        </w:tabs>
      </w:pPr>
      <w:r>
        <w:t>As has been noted it is also the case that a percentage of the places identified would not be considered ‘heritage’ places under current regimes.</w:t>
      </w:r>
    </w:p>
    <w:p w14:paraId="2C8A5B05" w14:textId="77777777" w:rsidR="00BD1AD0" w:rsidRDefault="00BD1AD0" w:rsidP="00BD1AD0">
      <w:pPr>
        <w:pStyle w:val="list1"/>
        <w:numPr>
          <w:ilvl w:val="0"/>
          <w:numId w:val="0"/>
        </w:numPr>
        <w:tabs>
          <w:tab w:val="left" w:pos="720"/>
        </w:tabs>
      </w:pPr>
      <w:r>
        <w:t xml:space="preserve">In analysing the outcomes of the survey, it is important to note that some members of the community may have used the ‘Heritage – Here and Now’ campaign to draw attention to issues of importance to them regardless of the nature of the survey.  </w:t>
      </w:r>
    </w:p>
    <w:p w14:paraId="78A077F5" w14:textId="0362F735" w:rsidR="008850C8" w:rsidRDefault="008850C8" w:rsidP="008850C8">
      <w:pPr>
        <w:pStyle w:val="Heading2"/>
      </w:pPr>
      <w:bookmarkStart w:id="78" w:name="_Toc522766163"/>
      <w:r>
        <w:t>What does ‘heritage’ mean to the people of Port Phillip in 2018?</w:t>
      </w:r>
      <w:bookmarkEnd w:id="78"/>
    </w:p>
    <w:p w14:paraId="220BCA78" w14:textId="77777777" w:rsidR="00A30368" w:rsidRDefault="00F37CCD" w:rsidP="00F37CCD">
      <w:r>
        <w:t xml:space="preserve">The campaign sought to understand what the concept of ‘heritage’ means to the people of Port Phillip today.  </w:t>
      </w:r>
    </w:p>
    <w:p w14:paraId="3F26E52B" w14:textId="3EA38400" w:rsidR="00F37CCD" w:rsidRDefault="00A30368" w:rsidP="00F37CCD">
      <w:r>
        <w:t xml:space="preserve">Quotes in the tables below, unless attributed, are from key stakeholder meetings and/or discussions with the community during the campaign. </w:t>
      </w:r>
    </w:p>
    <w:p w14:paraId="52328381" w14:textId="42FA3D11" w:rsidR="000439CB" w:rsidRDefault="000439CB" w:rsidP="000439CB">
      <w:pPr>
        <w:pStyle w:val="Caption"/>
      </w:pPr>
      <w:r>
        <w:t xml:space="preserve">Table </w:t>
      </w:r>
      <w:r w:rsidR="00E80953">
        <w:rPr>
          <w:noProof/>
        </w:rPr>
        <w:fldChar w:fldCharType="begin"/>
      </w:r>
      <w:r w:rsidR="00E80953">
        <w:rPr>
          <w:noProof/>
        </w:rPr>
        <w:instrText xml:space="preserve"> SEQ Table \* ARABIC </w:instrText>
      </w:r>
      <w:r w:rsidR="00E80953">
        <w:rPr>
          <w:noProof/>
        </w:rPr>
        <w:fldChar w:fldCharType="separate"/>
      </w:r>
      <w:r w:rsidR="003E105F">
        <w:rPr>
          <w:noProof/>
        </w:rPr>
        <w:t>5</w:t>
      </w:r>
      <w:r w:rsidR="00E80953">
        <w:rPr>
          <w:noProof/>
        </w:rPr>
        <w:fldChar w:fldCharType="end"/>
      </w:r>
      <w:r>
        <w:tab/>
        <w:t>The meanings of ‘heritage’ in 2018</w:t>
      </w:r>
    </w:p>
    <w:tbl>
      <w:tblPr>
        <w:tblStyle w:val="TableGrid"/>
        <w:tblW w:w="0" w:type="auto"/>
        <w:tblLook w:val="04A0" w:firstRow="1" w:lastRow="0" w:firstColumn="1" w:lastColumn="0" w:noHBand="0" w:noVBand="1"/>
      </w:tblPr>
      <w:tblGrid>
        <w:gridCol w:w="4248"/>
        <w:gridCol w:w="4247"/>
      </w:tblGrid>
      <w:tr w:rsidR="000439CB" w:rsidRPr="000439CB" w14:paraId="35AD4D0A" w14:textId="77777777" w:rsidTr="000C7780">
        <w:trPr>
          <w:tblHeader/>
        </w:trPr>
        <w:tc>
          <w:tcPr>
            <w:tcW w:w="4248" w:type="dxa"/>
          </w:tcPr>
          <w:p w14:paraId="76EBC061" w14:textId="77777777" w:rsidR="000439CB" w:rsidRPr="000439CB" w:rsidRDefault="008B36D2" w:rsidP="000439CB">
            <w:pPr>
              <w:rPr>
                <w:b/>
                <w:i/>
              </w:rPr>
            </w:pPr>
            <w:r>
              <w:rPr>
                <w:b/>
                <w:i/>
              </w:rPr>
              <w:t>Findings/data</w:t>
            </w:r>
          </w:p>
        </w:tc>
        <w:tc>
          <w:tcPr>
            <w:tcW w:w="4247" w:type="dxa"/>
          </w:tcPr>
          <w:p w14:paraId="4D40453E" w14:textId="77777777" w:rsidR="000439CB" w:rsidRPr="000439CB" w:rsidRDefault="000439CB" w:rsidP="000439CB">
            <w:pPr>
              <w:rPr>
                <w:b/>
                <w:i/>
              </w:rPr>
            </w:pPr>
            <w:r w:rsidRPr="000439CB">
              <w:rPr>
                <w:b/>
                <w:i/>
              </w:rPr>
              <w:t xml:space="preserve">Comment </w:t>
            </w:r>
          </w:p>
        </w:tc>
      </w:tr>
      <w:tr w:rsidR="000439CB" w14:paraId="1E19EE7E" w14:textId="77777777" w:rsidTr="000C7780">
        <w:tc>
          <w:tcPr>
            <w:tcW w:w="4248" w:type="dxa"/>
          </w:tcPr>
          <w:p w14:paraId="54715997" w14:textId="03A53B10" w:rsidR="000439CB" w:rsidRDefault="000439CB" w:rsidP="000439CB">
            <w:r>
              <w:t>The majority of places identified during the campaign were physical</w:t>
            </w:r>
            <w:r w:rsidR="00D61FA8">
              <w:t xml:space="preserve">, including </w:t>
            </w:r>
            <w:r>
              <w:t>buildings, streetscapes</w:t>
            </w:r>
            <w:r w:rsidR="0025245B">
              <w:t xml:space="preserve"> and </w:t>
            </w:r>
            <w:r>
              <w:t xml:space="preserve">public open spaces.  </w:t>
            </w:r>
          </w:p>
        </w:tc>
        <w:tc>
          <w:tcPr>
            <w:tcW w:w="4247" w:type="dxa"/>
          </w:tcPr>
          <w:p w14:paraId="1B86D158" w14:textId="77777777" w:rsidR="000439CB" w:rsidRDefault="000439CB" w:rsidP="000439CB">
            <w:r>
              <w:t>Traditional concepts of heritage</w:t>
            </w:r>
            <w:r w:rsidR="00874C73">
              <w:t xml:space="preserve"> </w:t>
            </w:r>
            <w:r>
              <w:t xml:space="preserve">retain currency and relevance.  </w:t>
            </w:r>
          </w:p>
        </w:tc>
      </w:tr>
      <w:tr w:rsidR="000439CB" w14:paraId="38008B08" w14:textId="77777777" w:rsidTr="000C7780">
        <w:tc>
          <w:tcPr>
            <w:tcW w:w="4248" w:type="dxa"/>
          </w:tcPr>
          <w:p w14:paraId="63DF2339" w14:textId="77777777" w:rsidR="000439CB" w:rsidRDefault="000439CB" w:rsidP="000439CB">
            <w:r>
              <w:t>‘Heritage is about stories … it’s about the stories that buildings</w:t>
            </w:r>
            <w:r w:rsidR="00487F95">
              <w:t xml:space="preserve"> and places</w:t>
            </w:r>
            <w:r>
              <w:t xml:space="preserve"> have to tell’.  </w:t>
            </w:r>
          </w:p>
        </w:tc>
        <w:tc>
          <w:tcPr>
            <w:tcW w:w="4247" w:type="dxa"/>
          </w:tcPr>
          <w:p w14:paraId="02573E8B" w14:textId="77777777" w:rsidR="000439CB" w:rsidRDefault="000439CB" w:rsidP="000439CB">
            <w:r>
              <w:t xml:space="preserve">The embedded meanings </w:t>
            </w:r>
            <w:r w:rsidR="00487F95">
              <w:t xml:space="preserve">(i.e. narrative) </w:t>
            </w:r>
            <w:r>
              <w:t>of buildings</w:t>
            </w:r>
            <w:r w:rsidR="00874C73">
              <w:t xml:space="preserve"> and </w:t>
            </w:r>
            <w:r>
              <w:t>public open spaces</w:t>
            </w:r>
            <w:r w:rsidR="00874C73">
              <w:t xml:space="preserve"> a</w:t>
            </w:r>
            <w:r>
              <w:t xml:space="preserve">re valued by the community. </w:t>
            </w:r>
            <w:r w:rsidR="00487F95">
              <w:t xml:space="preserve"> As noted by Bill Garner</w:t>
            </w:r>
          </w:p>
          <w:p w14:paraId="6806FF22" w14:textId="77777777" w:rsidR="00487F95" w:rsidRDefault="00487F95" w:rsidP="00487F95">
            <w:pPr>
              <w:pStyle w:val="Quotation"/>
            </w:pPr>
            <w:r>
              <w:t xml:space="preserve">‘… </w:t>
            </w:r>
            <w:r w:rsidRPr="00487F95">
              <w:t xml:space="preserve">sense of place is more than physical. </w:t>
            </w:r>
            <w:r>
              <w:t xml:space="preserve"> </w:t>
            </w:r>
            <w:r w:rsidRPr="00487F95">
              <w:t>We</w:t>
            </w:r>
            <w:r>
              <w:t xml:space="preserve"> </w:t>
            </w:r>
            <w:r w:rsidRPr="00487F95">
              <w:rPr>
                <w:i/>
                <w:iCs/>
              </w:rPr>
              <w:t>find</w:t>
            </w:r>
            <w:r>
              <w:rPr>
                <w:i/>
                <w:iCs/>
              </w:rPr>
              <w:t xml:space="preserve"> </w:t>
            </w:r>
            <w:r w:rsidRPr="00487F95">
              <w:t xml:space="preserve">ourselves in our local history because it is our own history. </w:t>
            </w:r>
            <w:r>
              <w:t xml:space="preserve"> </w:t>
            </w:r>
            <w:r w:rsidRPr="00487F95">
              <w:t>We are</w:t>
            </w:r>
            <w:r>
              <w:t xml:space="preserve"> </w:t>
            </w:r>
            <w:r w:rsidRPr="00487F95">
              <w:rPr>
                <w:i/>
                <w:iCs/>
              </w:rPr>
              <w:t>present</w:t>
            </w:r>
            <w:r>
              <w:rPr>
                <w:i/>
                <w:iCs/>
              </w:rPr>
              <w:t xml:space="preserve"> </w:t>
            </w:r>
            <w:r w:rsidRPr="00487F95">
              <w:t xml:space="preserve">in our local history and that </w:t>
            </w:r>
            <w:r w:rsidRPr="00487F95">
              <w:lastRenderedPageBreak/>
              <w:t>closes the gap between the past and the present.</w:t>
            </w:r>
            <w:r>
              <w:t>’</w:t>
            </w:r>
            <w:r>
              <w:rPr>
                <w:rStyle w:val="FootnoteReference"/>
              </w:rPr>
              <w:footnoteReference w:id="41"/>
            </w:r>
          </w:p>
          <w:p w14:paraId="6F76B4BC" w14:textId="77777777" w:rsidR="000439CB" w:rsidRDefault="00487F95" w:rsidP="000439CB">
            <w:r>
              <w:t xml:space="preserve">Intangible attributes are celebrated and valued by communities.  </w:t>
            </w:r>
          </w:p>
        </w:tc>
      </w:tr>
      <w:tr w:rsidR="004D3848" w14:paraId="23AADF49" w14:textId="77777777" w:rsidTr="000C7780">
        <w:tc>
          <w:tcPr>
            <w:tcW w:w="4248" w:type="dxa"/>
          </w:tcPr>
          <w:p w14:paraId="07E279C4" w14:textId="77777777" w:rsidR="00DC2A53" w:rsidRDefault="00C10375" w:rsidP="0064077A">
            <w:r>
              <w:lastRenderedPageBreak/>
              <w:t>Conceptions of heritage are determined by personal and group experience.</w:t>
            </w:r>
            <w:r>
              <w:rPr>
                <w:rStyle w:val="FootnoteReference"/>
              </w:rPr>
              <w:footnoteReference w:id="42"/>
            </w:r>
            <w:r w:rsidR="00DC2A53">
              <w:t xml:space="preserve">  Examples from the consultation include: </w:t>
            </w:r>
          </w:p>
          <w:p w14:paraId="16660F1A" w14:textId="77777777" w:rsidR="0056148F" w:rsidRDefault="000E48C9" w:rsidP="0056148F">
            <w:pPr>
              <w:pStyle w:val="Quotation"/>
            </w:pPr>
            <w:r w:rsidRPr="000777AB">
              <w:t>‘We [the LGBTQI community] operate on the margins, on the periphery … we’re always the outsiders.  Even at the Prince [of Wales] we’re in the side bar.  We seek places that are welcoming, deserted, safe</w:t>
            </w:r>
            <w:r>
              <w:t>.</w:t>
            </w:r>
            <w:r w:rsidR="0056148F">
              <w:t>’</w:t>
            </w:r>
          </w:p>
          <w:p w14:paraId="645E0314" w14:textId="77777777" w:rsidR="00592101" w:rsidRDefault="00592101" w:rsidP="0056148F">
            <w:pPr>
              <w:pStyle w:val="Quotation"/>
              <w:ind w:left="0"/>
            </w:pPr>
            <w:r>
              <w:t xml:space="preserve">Greek </w:t>
            </w:r>
            <w:r w:rsidR="0056148F">
              <w:t xml:space="preserve">legacies in </w:t>
            </w:r>
            <w:r>
              <w:t>Bay Street, Port Melbourne</w:t>
            </w:r>
            <w:r w:rsidR="0056148F">
              <w:t xml:space="preserve">: cafes, bakery etc </w:t>
            </w:r>
          </w:p>
          <w:p w14:paraId="05A8FDAC" w14:textId="77777777" w:rsidR="00592101" w:rsidRDefault="008727F5" w:rsidP="0064077A">
            <w:r>
              <w:t>Jewish</w:t>
            </w:r>
            <w:r w:rsidR="0056148F">
              <w:t>/</w:t>
            </w:r>
            <w:r>
              <w:t xml:space="preserve">Russian </w:t>
            </w:r>
            <w:r w:rsidR="0056148F">
              <w:t xml:space="preserve">legacies in Balaclava </w:t>
            </w:r>
          </w:p>
        </w:tc>
        <w:tc>
          <w:tcPr>
            <w:tcW w:w="4247" w:type="dxa"/>
          </w:tcPr>
          <w:p w14:paraId="193A422A" w14:textId="77777777" w:rsidR="0025245B" w:rsidRDefault="0025245B" w:rsidP="0025245B">
            <w:r>
              <w:t xml:space="preserve">What is valued by some may not be valued by others.  Heritage is necessarily fragmented and may well be transient.  It should also be noted that communities may not wish for places valuable to them to become public knowledge (LGBTQI community).  </w:t>
            </w:r>
          </w:p>
          <w:p w14:paraId="3F185613" w14:textId="3BEA390B" w:rsidR="0025245B" w:rsidRDefault="0025245B" w:rsidP="0064077A"/>
        </w:tc>
      </w:tr>
      <w:tr w:rsidR="00023724" w14:paraId="441B46D7" w14:textId="77777777" w:rsidTr="000C7780">
        <w:tc>
          <w:tcPr>
            <w:tcW w:w="4248" w:type="dxa"/>
          </w:tcPr>
          <w:p w14:paraId="6D44B8D3" w14:textId="78D4D873" w:rsidR="00023724" w:rsidRDefault="00FA7973" w:rsidP="00023724">
            <w:pPr>
              <w:rPr>
                <w:shd w:val="clear" w:color="auto" w:fill="FFFFFF"/>
              </w:rPr>
            </w:pPr>
            <w:r>
              <w:rPr>
                <w:shd w:val="clear" w:color="auto" w:fill="FFFFFF"/>
              </w:rPr>
              <w:t>Cultural landscapes; a broader view of heritage:</w:t>
            </w:r>
          </w:p>
          <w:p w14:paraId="1A1A47E6" w14:textId="77777777" w:rsidR="00023724" w:rsidRDefault="00023724" w:rsidP="00023724">
            <w:pPr>
              <w:pStyle w:val="Quotation"/>
            </w:pPr>
            <w:r>
              <w:rPr>
                <w:shd w:val="clear" w:color="auto" w:fill="FFFFFF"/>
              </w:rPr>
              <w:t xml:space="preserve">‘With respect to Brookes Jetty, its heritage </w:t>
            </w:r>
            <w:r w:rsidRPr="00023724">
              <w:rPr>
                <w:i/>
                <w:iCs/>
              </w:rPr>
              <w:t>value</w:t>
            </w:r>
            <w:r w:rsidRPr="00023724">
              <w:rPr>
                <w:shd w:val="clear" w:color="auto" w:fill="FFFFFF"/>
              </w:rPr>
              <w:t xml:space="preserve"> …</w:t>
            </w:r>
            <w:r>
              <w:t xml:space="preserve"> </w:t>
            </w:r>
            <w:r>
              <w:rPr>
                <w:shd w:val="clear" w:color="auto" w:fill="FFFFFF"/>
              </w:rPr>
              <w:t>derives not just from the remnant structure, but from the cultural landscape of which it is part … and a landscape is never finished … it’s constantly in production …’</w:t>
            </w:r>
            <w:r>
              <w:rPr>
                <w:rStyle w:val="FootnoteReference"/>
              </w:rPr>
              <w:t xml:space="preserve"> </w:t>
            </w:r>
            <w:r>
              <w:rPr>
                <w:rStyle w:val="FootnoteReference"/>
              </w:rPr>
              <w:footnoteReference w:id="43"/>
            </w:r>
          </w:p>
          <w:p w14:paraId="00737789" w14:textId="43729714" w:rsidR="006773F3" w:rsidRPr="006773F3" w:rsidRDefault="003563F1" w:rsidP="000C7780">
            <w:pPr>
              <w:pStyle w:val="Quotation"/>
            </w:pPr>
            <w:r w:rsidRPr="000C7780">
              <w:t>‘Do</w:t>
            </w:r>
            <w:r w:rsidR="000C7780" w:rsidRPr="000C7780">
              <w:t>n’t just look at buildings (or organs), look at what connects them (</w:t>
            </w:r>
            <w:r w:rsidRPr="000C7780">
              <w:t>arteries).  Canals, rail lines … they all contribute to the story of an urban area</w:t>
            </w:r>
            <w:r w:rsidR="000C7780">
              <w:t xml:space="preserve">’ </w:t>
            </w:r>
          </w:p>
        </w:tc>
        <w:tc>
          <w:tcPr>
            <w:tcW w:w="4247" w:type="dxa"/>
          </w:tcPr>
          <w:p w14:paraId="68BD6010" w14:textId="77777777" w:rsidR="00023724" w:rsidRDefault="00845970" w:rsidP="00845970">
            <w:r>
              <w:t>The community, at a generalised level, takes a b</w:t>
            </w:r>
            <w:r w:rsidR="00023724">
              <w:t xml:space="preserve">roader view of heritage, </w:t>
            </w:r>
            <w:r>
              <w:t>one that is n</w:t>
            </w:r>
            <w:r w:rsidR="00023724">
              <w:t xml:space="preserve">ot so much focussed on buildings and monuments, but on </w:t>
            </w:r>
            <w:r>
              <w:t xml:space="preserve">‘place’ at a </w:t>
            </w:r>
            <w:r w:rsidR="00023724">
              <w:t>wider scale.</w:t>
            </w:r>
          </w:p>
        </w:tc>
      </w:tr>
    </w:tbl>
    <w:p w14:paraId="6579832A" w14:textId="77777777" w:rsidR="00592101" w:rsidRDefault="00592101" w:rsidP="00592101">
      <w:pPr>
        <w:pStyle w:val="Heading5"/>
      </w:pPr>
      <w:r>
        <w:t xml:space="preserve">Comment </w:t>
      </w:r>
    </w:p>
    <w:p w14:paraId="01A9D307" w14:textId="546E7C9F" w:rsidR="00845970" w:rsidRDefault="00896D36" w:rsidP="0023681F">
      <w:r>
        <w:t>Wh</w:t>
      </w:r>
      <w:r w:rsidR="00845970">
        <w:t>y h</w:t>
      </w:r>
      <w:r w:rsidR="0025245B">
        <w:t>a</w:t>
      </w:r>
      <w:r w:rsidR="00845970">
        <w:t xml:space="preserve">s the meaning of ‘heritage’ </w:t>
      </w:r>
      <w:r>
        <w:t>changed?</w:t>
      </w:r>
    </w:p>
    <w:p w14:paraId="6B11752E" w14:textId="18ED59F4" w:rsidR="000D5955" w:rsidRPr="000C7780" w:rsidRDefault="00845970" w:rsidP="0025245B">
      <w:pPr>
        <w:rPr>
          <w:rStyle w:val="normaltextrun1"/>
        </w:rPr>
      </w:pPr>
      <w:r w:rsidRPr="000C7780">
        <w:rPr>
          <w:rStyle w:val="normaltextrun1"/>
          <w:bCs/>
          <w:i/>
        </w:rPr>
        <w:lastRenderedPageBreak/>
        <w:t>The process of identifying valued attributes and elements:</w:t>
      </w:r>
      <w:r w:rsidRPr="00845970">
        <w:rPr>
          <w:rStyle w:val="normaltextrun1"/>
          <w:bCs/>
        </w:rPr>
        <w:t xml:space="preserve">  </w:t>
      </w:r>
      <w:r w:rsidR="00896D36" w:rsidRPr="00845970">
        <w:rPr>
          <w:rStyle w:val="normaltextrun1"/>
          <w:bCs/>
        </w:rPr>
        <w:t>In the 1980s/90s, Council employed consultants (</w:t>
      </w:r>
      <w:r w:rsidRPr="00845970">
        <w:rPr>
          <w:rStyle w:val="normaltextrun1"/>
          <w:bCs/>
        </w:rPr>
        <w:t xml:space="preserve">specialists, </w:t>
      </w:r>
      <w:r w:rsidR="00023724" w:rsidRPr="00845970">
        <w:rPr>
          <w:rStyle w:val="normaltextrun1"/>
          <w:bCs/>
        </w:rPr>
        <w:t xml:space="preserve">often </w:t>
      </w:r>
      <w:r w:rsidR="00896D36" w:rsidRPr="00845970">
        <w:rPr>
          <w:rStyle w:val="normaltextrun1"/>
          <w:bCs/>
        </w:rPr>
        <w:t xml:space="preserve">architects) to tell them and the community what places were important.  In the </w:t>
      </w:r>
      <w:r w:rsidRPr="00845970">
        <w:rPr>
          <w:rStyle w:val="normaltextrun1"/>
          <w:bCs/>
        </w:rPr>
        <w:t xml:space="preserve">twenty-first </w:t>
      </w:r>
      <w:r w:rsidR="00896D36" w:rsidRPr="00845970">
        <w:rPr>
          <w:rStyle w:val="normaltextrun1"/>
          <w:bCs/>
        </w:rPr>
        <w:t>century, the community can express their own views</w:t>
      </w:r>
      <w:r w:rsidR="00E13D5C" w:rsidRPr="00845970">
        <w:rPr>
          <w:rStyle w:val="normaltextrun1"/>
          <w:bCs/>
        </w:rPr>
        <w:t xml:space="preserve"> </w:t>
      </w:r>
      <w:r w:rsidRPr="00845970">
        <w:rPr>
          <w:rStyle w:val="normaltextrun1"/>
          <w:bCs/>
        </w:rPr>
        <w:t>(</w:t>
      </w:r>
      <w:r w:rsidR="00E13D5C" w:rsidRPr="00845970">
        <w:rPr>
          <w:rStyle w:val="normaltextrun1"/>
          <w:bCs/>
        </w:rPr>
        <w:t>online, social media</w:t>
      </w:r>
      <w:r w:rsidRPr="00845970">
        <w:rPr>
          <w:rStyle w:val="normaltextrun1"/>
          <w:bCs/>
        </w:rPr>
        <w:t xml:space="preserve">).  Non-specialists have a wide variety </w:t>
      </w:r>
      <w:r w:rsidR="0025245B">
        <w:rPr>
          <w:rStyle w:val="normaltextrun1"/>
          <w:bCs/>
        </w:rPr>
        <w:t xml:space="preserve">of </w:t>
      </w:r>
      <w:r w:rsidRPr="00845970">
        <w:rPr>
          <w:rStyle w:val="normaltextrun1"/>
          <w:bCs/>
        </w:rPr>
        <w:t>interests and perspectives</w:t>
      </w:r>
      <w:r w:rsidR="000D5955">
        <w:rPr>
          <w:rStyle w:val="normaltextrun1"/>
          <w:bCs/>
        </w:rPr>
        <w:t xml:space="preserve">.  </w:t>
      </w:r>
      <w:r w:rsidR="000C7780" w:rsidRPr="000C7780">
        <w:rPr>
          <w:rStyle w:val="normaltextrun1"/>
          <w:bCs/>
        </w:rPr>
        <w:t xml:space="preserve">In an environment where the views of all communities are relevant, there can be no expectation that all views can be captured at any one time – there’s no end point.  Aspirations should be to: ensure that the issue is embedded in Council thinking (formal acknowledgement); and to establish a framework for on-going engagement and recognition of communal sentiment.  </w:t>
      </w:r>
    </w:p>
    <w:p w14:paraId="6B801CEA" w14:textId="2C26142B" w:rsidR="000C7780" w:rsidRPr="000C7780" w:rsidRDefault="000D5955" w:rsidP="0025245B">
      <w:pPr>
        <w:rPr>
          <w:rStyle w:val="normaltextrun1"/>
          <w:bCs/>
        </w:rPr>
      </w:pPr>
      <w:r w:rsidRPr="000C7780">
        <w:rPr>
          <w:rStyle w:val="normaltextrun1"/>
          <w:bCs/>
          <w:i/>
        </w:rPr>
        <w:t>Cultural landscapes:</w:t>
      </w:r>
      <w:r w:rsidRPr="000C7780">
        <w:rPr>
          <w:rStyle w:val="normaltextrun1"/>
          <w:bCs/>
        </w:rPr>
        <w:t xml:space="preserve">  </w:t>
      </w:r>
      <w:r w:rsidRPr="00751373">
        <w:rPr>
          <w:rStyle w:val="normaltextrun1"/>
          <w:bCs/>
        </w:rPr>
        <w:t xml:space="preserve">Introduced at the World Heritage level in 1992.  An holistic concept </w:t>
      </w:r>
      <w:r w:rsidR="00751373">
        <w:rPr>
          <w:rStyle w:val="normaltextrun1"/>
          <w:bCs/>
        </w:rPr>
        <w:t xml:space="preserve">which </w:t>
      </w:r>
      <w:r w:rsidRPr="00751373">
        <w:rPr>
          <w:rStyle w:val="normaltextrun1"/>
          <w:bCs/>
        </w:rPr>
        <w:t>recognises that the significance of heritage sites can be the result of the’ combined works of nature and of man’.</w:t>
      </w:r>
      <w:r w:rsidR="000C7780" w:rsidRPr="00751373">
        <w:rPr>
          <w:rStyle w:val="FootnoteReference"/>
        </w:rPr>
        <w:footnoteReference w:id="44"/>
      </w:r>
      <w:r w:rsidR="000C7780" w:rsidRPr="000C7780">
        <w:rPr>
          <w:rStyle w:val="normaltextrun1"/>
          <w:bCs/>
        </w:rPr>
        <w:t xml:space="preserve"> </w:t>
      </w:r>
      <w:r w:rsidR="000C7780">
        <w:rPr>
          <w:rStyle w:val="normaltextrun1"/>
          <w:bCs/>
        </w:rPr>
        <w:t xml:space="preserve"> </w:t>
      </w:r>
      <w:r w:rsidR="000C7780" w:rsidRPr="00751373">
        <w:rPr>
          <w:rStyle w:val="normaltextrun1"/>
          <w:bCs/>
        </w:rPr>
        <w:t xml:space="preserve">The term ‘cultural landscape’ embraces a diversity of manifestations of the interaction between humankind and its natural environment.  </w:t>
      </w:r>
      <w:r w:rsidR="000C7780">
        <w:rPr>
          <w:rStyle w:val="normaltextrun1"/>
          <w:bCs/>
        </w:rPr>
        <w:t xml:space="preserve">Now well established, the </w:t>
      </w:r>
      <w:r w:rsidR="000C7780" w:rsidRPr="00751373">
        <w:rPr>
          <w:rStyle w:val="normaltextrun1"/>
          <w:bCs/>
        </w:rPr>
        <w:t>‘cultural landscape’</w:t>
      </w:r>
      <w:r w:rsidR="000C7780">
        <w:rPr>
          <w:rStyle w:val="normaltextrun1"/>
          <w:bCs/>
        </w:rPr>
        <w:t xml:space="preserve"> concept has permeated all spheres of heritage practice.  A related concept is ‘in</w:t>
      </w:r>
      <w:r w:rsidR="000C7780">
        <w:t>spirational landscapes’ defined as: ‘… those places associated with positive and inspiring aesthetic or cultural perceptions of a place and experiences derived from a place.  They may be discrete sections of the environment or vast expanses of landscape’.</w:t>
      </w:r>
      <w:r w:rsidR="000C7780">
        <w:rPr>
          <w:rStyle w:val="FootnoteReference"/>
        </w:rPr>
        <w:footnoteReference w:id="45"/>
      </w:r>
      <w:r w:rsidR="000C7780">
        <w:t xml:space="preserve">   An important distinction between the concept of cultural landscapes and inspirational landscapes is the notion that inspirational landscapes hold positive associations that have a, ‘powerful</w:t>
      </w:r>
      <w:r w:rsidR="000C7780" w:rsidRPr="000C7780">
        <w:t xml:space="preserve"> </w:t>
      </w:r>
      <w:r w:rsidR="000C7780">
        <w:t>influence on human emotion’ which prompts a response that may take many forms (artistic</w:t>
      </w:r>
      <w:r w:rsidR="000C7780" w:rsidRPr="000C7780">
        <w:t xml:space="preserve"> </w:t>
      </w:r>
      <w:r w:rsidR="000C7780">
        <w:t>outcome, protection/conservation, scientific discovery.</w:t>
      </w:r>
      <w:r w:rsidR="000C7780">
        <w:rPr>
          <w:rStyle w:val="FootnoteReference"/>
        </w:rPr>
        <w:footnoteReference w:id="46"/>
      </w:r>
    </w:p>
    <w:p w14:paraId="0E7D8A93" w14:textId="77777777" w:rsidR="00690FE0" w:rsidRDefault="000439CB" w:rsidP="002F7413">
      <w:pPr>
        <w:pStyle w:val="Heading2"/>
      </w:pPr>
      <w:bookmarkStart w:id="79" w:name="_Toc522766164"/>
      <w:r>
        <w:t>What types of places are valued by the community, and why?</w:t>
      </w:r>
      <w:bookmarkEnd w:id="79"/>
    </w:p>
    <w:p w14:paraId="316B8762" w14:textId="2AB7E24B" w:rsidR="00FA7973" w:rsidRDefault="00FA7973" w:rsidP="000439CB">
      <w:r w:rsidRPr="00FA7973">
        <w:t>The table below (</w:t>
      </w:r>
      <w:r w:rsidRPr="00FA7973">
        <w:fldChar w:fldCharType="begin"/>
      </w:r>
      <w:r w:rsidRPr="00FA7973">
        <w:instrText xml:space="preserve"> REF _Ref520174686 \h </w:instrText>
      </w:r>
      <w:r>
        <w:instrText xml:space="preserve"> \* MERGEFORMAT </w:instrText>
      </w:r>
      <w:r w:rsidRPr="00FA7973">
        <w:fldChar w:fldCharType="separate"/>
      </w:r>
      <w:r w:rsidR="003E105F">
        <w:t xml:space="preserve">Table </w:t>
      </w:r>
      <w:r w:rsidR="003E105F">
        <w:rPr>
          <w:noProof/>
        </w:rPr>
        <w:t>6</w:t>
      </w:r>
      <w:r w:rsidRPr="00FA7973">
        <w:fldChar w:fldCharType="end"/>
      </w:r>
      <w:r w:rsidRPr="00FA7973">
        <w:t>)</w:t>
      </w:r>
      <w:r>
        <w:t xml:space="preserve">, and the commentary, draws upon and expands issues identified at Sections </w:t>
      </w:r>
      <w:r>
        <w:fldChar w:fldCharType="begin"/>
      </w:r>
      <w:r>
        <w:instrText xml:space="preserve"> REF _Ref520174801 \r \h </w:instrText>
      </w:r>
      <w:r>
        <w:fldChar w:fldCharType="separate"/>
      </w:r>
      <w:r w:rsidR="003E105F">
        <w:t>-</w:t>
      </w:r>
      <w:r>
        <w:fldChar w:fldCharType="end"/>
      </w:r>
      <w:r>
        <w:t xml:space="preserve"> and </w:t>
      </w:r>
      <w:r>
        <w:fldChar w:fldCharType="begin"/>
      </w:r>
      <w:r>
        <w:instrText xml:space="preserve"> REF _Ref520172293 \r \h </w:instrText>
      </w:r>
      <w:r>
        <w:fldChar w:fldCharType="separate"/>
      </w:r>
      <w:r w:rsidR="003E105F">
        <w:t>6.2.2</w:t>
      </w:r>
      <w:r>
        <w:fldChar w:fldCharType="end"/>
      </w:r>
      <w:r>
        <w:t xml:space="preserve">.  </w:t>
      </w:r>
    </w:p>
    <w:p w14:paraId="27876B1F" w14:textId="2A2777A3" w:rsidR="000439CB" w:rsidRDefault="000439CB" w:rsidP="000439CB">
      <w:pPr>
        <w:pStyle w:val="Caption"/>
      </w:pPr>
      <w:bookmarkStart w:id="80" w:name="_Ref520174686"/>
      <w:r>
        <w:t xml:space="preserve">Table </w:t>
      </w:r>
      <w:r w:rsidR="00E80953">
        <w:rPr>
          <w:noProof/>
        </w:rPr>
        <w:fldChar w:fldCharType="begin"/>
      </w:r>
      <w:r w:rsidR="00E80953">
        <w:rPr>
          <w:noProof/>
        </w:rPr>
        <w:instrText xml:space="preserve"> SEQ Table \* ARABIC </w:instrText>
      </w:r>
      <w:r w:rsidR="00E80953">
        <w:rPr>
          <w:noProof/>
        </w:rPr>
        <w:fldChar w:fldCharType="separate"/>
      </w:r>
      <w:r w:rsidR="003E105F">
        <w:rPr>
          <w:noProof/>
        </w:rPr>
        <w:t>6</w:t>
      </w:r>
      <w:r w:rsidR="00E80953">
        <w:rPr>
          <w:noProof/>
        </w:rPr>
        <w:fldChar w:fldCharType="end"/>
      </w:r>
      <w:bookmarkEnd w:id="80"/>
      <w:r>
        <w:tab/>
        <w:t>Place typologies valued in 2018</w:t>
      </w:r>
    </w:p>
    <w:tbl>
      <w:tblPr>
        <w:tblStyle w:val="TableGrid"/>
        <w:tblW w:w="8500" w:type="dxa"/>
        <w:tblLook w:val="04A0" w:firstRow="1" w:lastRow="0" w:firstColumn="1" w:lastColumn="0" w:noHBand="0" w:noVBand="1"/>
      </w:tblPr>
      <w:tblGrid>
        <w:gridCol w:w="4247"/>
        <w:gridCol w:w="4253"/>
      </w:tblGrid>
      <w:tr w:rsidR="000439CB" w:rsidRPr="000439CB" w14:paraId="063C7F34" w14:textId="77777777" w:rsidTr="00526E8F">
        <w:trPr>
          <w:tblHeader/>
        </w:trPr>
        <w:tc>
          <w:tcPr>
            <w:tcW w:w="4247" w:type="dxa"/>
          </w:tcPr>
          <w:p w14:paraId="112558C9" w14:textId="77777777" w:rsidR="000439CB" w:rsidRPr="000439CB" w:rsidRDefault="008B36D2" w:rsidP="0064077A">
            <w:pPr>
              <w:rPr>
                <w:b/>
                <w:i/>
              </w:rPr>
            </w:pPr>
            <w:r>
              <w:rPr>
                <w:b/>
                <w:i/>
              </w:rPr>
              <w:t>Findings/data</w:t>
            </w:r>
          </w:p>
        </w:tc>
        <w:tc>
          <w:tcPr>
            <w:tcW w:w="4253" w:type="dxa"/>
          </w:tcPr>
          <w:p w14:paraId="60CBD1CD" w14:textId="77777777" w:rsidR="000439CB" w:rsidRPr="000439CB" w:rsidRDefault="000439CB" w:rsidP="0064077A">
            <w:pPr>
              <w:rPr>
                <w:b/>
                <w:i/>
              </w:rPr>
            </w:pPr>
            <w:r w:rsidRPr="000439CB">
              <w:rPr>
                <w:b/>
                <w:i/>
              </w:rPr>
              <w:t xml:space="preserve">Comment </w:t>
            </w:r>
          </w:p>
        </w:tc>
      </w:tr>
      <w:tr w:rsidR="000439CB" w14:paraId="6BAC8AE9" w14:textId="77777777" w:rsidTr="00526E8F">
        <w:tc>
          <w:tcPr>
            <w:tcW w:w="4247" w:type="dxa"/>
          </w:tcPr>
          <w:p w14:paraId="59E8A1E4" w14:textId="77777777" w:rsidR="000439CB" w:rsidRDefault="004D3848" w:rsidP="0064077A">
            <w:r>
              <w:t xml:space="preserve">‘Local landmarks’, including buildings/places that are specific to the locality or otherwise visually singular, were identified by 177 of the 217 respondents to the online survey – </w:t>
            </w:r>
            <w:r w:rsidR="007A7867">
              <w:t>t</w:t>
            </w:r>
            <w:r>
              <w:t>he Palais, Luna Park</w:t>
            </w:r>
            <w:r w:rsidR="007A7867">
              <w:t>, St Kilda Pier and Kiosk</w:t>
            </w:r>
            <w:r w:rsidR="008727F5">
              <w:t>, the Espy</w:t>
            </w:r>
            <w:r w:rsidR="00C36BEC">
              <w:t xml:space="preserve">, </w:t>
            </w:r>
            <w:r w:rsidR="00C36BEC" w:rsidRPr="0023681F">
              <w:t>Port Melbourne Leading Lights</w:t>
            </w:r>
            <w:r w:rsidR="00C36BEC">
              <w:t xml:space="preserve"> </w:t>
            </w:r>
            <w:r>
              <w:t xml:space="preserve">etc </w:t>
            </w:r>
          </w:p>
        </w:tc>
        <w:tc>
          <w:tcPr>
            <w:tcW w:w="4253" w:type="dxa"/>
          </w:tcPr>
          <w:p w14:paraId="4C9783EA" w14:textId="123AF0C0" w:rsidR="004D3848" w:rsidRDefault="00ED68B7" w:rsidP="00810898">
            <w:r>
              <w:t>These are p</w:t>
            </w:r>
            <w:r w:rsidR="004D3848">
              <w:t>laces that are distinctive</w:t>
            </w:r>
            <w:r>
              <w:t xml:space="preserve"> or </w:t>
            </w:r>
            <w:r w:rsidR="004D3848">
              <w:t>singular</w:t>
            </w:r>
            <w:r>
              <w:t xml:space="preserve">; </w:t>
            </w:r>
            <w:r w:rsidR="00FA7973">
              <w:t>and</w:t>
            </w:r>
            <w:r w:rsidR="008C3861">
              <w:t xml:space="preserve"> </w:t>
            </w:r>
            <w:r w:rsidR="00FA7973">
              <w:t xml:space="preserve">set the </w:t>
            </w:r>
            <w:r w:rsidR="004D3848">
              <w:t xml:space="preserve">CoPP apart </w:t>
            </w:r>
            <w:r w:rsidR="008C3861">
              <w:t xml:space="preserve">from other municipalities.  </w:t>
            </w:r>
            <w:r w:rsidR="00FA7973">
              <w:t xml:space="preserve">This suggests </w:t>
            </w:r>
            <w:r w:rsidR="00810898">
              <w:t xml:space="preserve">evidence of </w:t>
            </w:r>
            <w:r w:rsidR="00810898" w:rsidRPr="00FA7973">
              <w:t>character</w:t>
            </w:r>
            <w:r w:rsidR="00810898">
              <w:rPr>
                <w:i/>
              </w:rPr>
              <w:t xml:space="preserve"> </w:t>
            </w:r>
            <w:r w:rsidR="00810898">
              <w:t>a</w:t>
            </w:r>
            <w:r w:rsidR="008C3861">
              <w:t>t a municipal level</w:t>
            </w:r>
            <w:r w:rsidR="00810898">
              <w:t xml:space="preserve">.  </w:t>
            </w:r>
            <w:r w:rsidR="003313DD">
              <w:t>The issue of character</w:t>
            </w:r>
            <w:r w:rsidR="00810898">
              <w:t xml:space="preserve"> </w:t>
            </w:r>
            <w:r w:rsidR="004D3848">
              <w:t xml:space="preserve">also </w:t>
            </w:r>
            <w:r w:rsidR="003313DD">
              <w:t>applies at</w:t>
            </w:r>
            <w:r w:rsidR="004D3848">
              <w:t xml:space="preserve"> the local/neighbourhood level</w:t>
            </w:r>
            <w:r w:rsidR="00FA7973">
              <w:t xml:space="preserve">, and may be expressed in more idiosyncratic observations, such as children’s play equipment, street parties and associations with eminent local individuals. </w:t>
            </w:r>
          </w:p>
        </w:tc>
      </w:tr>
      <w:tr w:rsidR="000439CB" w14:paraId="4AE86426" w14:textId="77777777" w:rsidTr="00526E8F">
        <w:tc>
          <w:tcPr>
            <w:tcW w:w="4247" w:type="dxa"/>
          </w:tcPr>
          <w:p w14:paraId="555A03DB" w14:textId="4E60B11B" w:rsidR="000439CB" w:rsidRDefault="000439CB" w:rsidP="008A099F">
            <w:r>
              <w:t>Natural features featured strongly</w:t>
            </w:r>
            <w:r w:rsidR="008A099F">
              <w:t xml:space="preserve"> in the survey</w:t>
            </w:r>
            <w:r>
              <w:t xml:space="preserve">, being identified by 172 of the 217 respondents to, and referenced </w:t>
            </w:r>
            <w:r w:rsidR="008A099F">
              <w:t xml:space="preserve">regularly </w:t>
            </w:r>
            <w:r>
              <w:t>during face-to-face meetings.</w:t>
            </w:r>
            <w:r w:rsidR="008A099F">
              <w:t xml:space="preserve">  Examples include</w:t>
            </w:r>
            <w:r w:rsidR="004D3848">
              <w:t>: the foreshore, street trees as components of streetscapes; St Kilda Botanical Gardens; Catani Gardens, Alma Park; and Albert Park and the lake; and Ngargee Tree (Corrob</w:t>
            </w:r>
            <w:r w:rsidR="00526E8F">
              <w:t>o</w:t>
            </w:r>
            <w:r w:rsidR="004D3848">
              <w:t xml:space="preserve">ree). </w:t>
            </w:r>
          </w:p>
        </w:tc>
        <w:tc>
          <w:tcPr>
            <w:tcW w:w="4253" w:type="dxa"/>
          </w:tcPr>
          <w:p w14:paraId="51913699" w14:textId="1B54621F" w:rsidR="00526E8F" w:rsidRDefault="00B26543" w:rsidP="00630B5C">
            <w:r>
              <w:t xml:space="preserve">The natural environment </w:t>
            </w:r>
            <w:r w:rsidR="0025245B">
              <w:t xml:space="preserve">(seen and unseen) </w:t>
            </w:r>
            <w:r>
              <w:t>is recognised and valued by the community as the setting for the municipality as it exists.  T</w:t>
            </w:r>
            <w:r w:rsidR="00630B5C">
              <w:t>his was expressed in a number of references to the valued</w:t>
            </w:r>
            <w:r>
              <w:t xml:space="preserve"> ‘</w:t>
            </w:r>
            <w:r w:rsidR="00630B5C">
              <w:t>layers</w:t>
            </w:r>
            <w:r>
              <w:t xml:space="preserve">’ of places during the campaign, </w:t>
            </w:r>
            <w:r w:rsidR="00DB3BE1">
              <w:t>including topography</w:t>
            </w:r>
            <w:r>
              <w:t xml:space="preserve">.  One example given was the form of the </w:t>
            </w:r>
            <w:r w:rsidR="00526E8F">
              <w:t>Sandridge Lagoon</w:t>
            </w:r>
            <w:r>
              <w:t xml:space="preserve">, which remains discernible in the urban landscape today – ‘But that’s not protected …. A developer could replace </w:t>
            </w:r>
            <w:r>
              <w:lastRenderedPageBreak/>
              <w:t xml:space="preserve">the buildings, and evidence of the lagoon would be lost’.  </w:t>
            </w:r>
            <w:r w:rsidR="00630B5C">
              <w:t xml:space="preserve">Concealed creeks were another example, </w:t>
            </w:r>
            <w:r>
              <w:t xml:space="preserve">with members of the community expressing </w:t>
            </w:r>
            <w:r w:rsidR="00630B5C">
              <w:t xml:space="preserve">an interest is revealing the alignment of forgotten watercourses.  </w:t>
            </w:r>
          </w:p>
        </w:tc>
      </w:tr>
      <w:tr w:rsidR="003313DD" w14:paraId="6913663C" w14:textId="77777777" w:rsidTr="00526E8F">
        <w:tc>
          <w:tcPr>
            <w:tcW w:w="4247" w:type="dxa"/>
          </w:tcPr>
          <w:p w14:paraId="3423F177" w14:textId="77777777" w:rsidR="003313DD" w:rsidRDefault="003313DD" w:rsidP="003313DD">
            <w:r w:rsidRPr="00DD6446">
              <w:lastRenderedPageBreak/>
              <w:t>Collective</w:t>
            </w:r>
            <w:r>
              <w:t>/g</w:t>
            </w:r>
            <w:r w:rsidRPr="00DD6446">
              <w:t>eneric qualities and attributes</w:t>
            </w:r>
            <w:r>
              <w:t>:</w:t>
            </w:r>
          </w:p>
          <w:p w14:paraId="50EC1FB7" w14:textId="0DA8682F" w:rsidR="003313DD" w:rsidRDefault="003313DD" w:rsidP="00387A20">
            <w:pPr>
              <w:pStyle w:val="ListParagraph"/>
              <w:numPr>
                <w:ilvl w:val="0"/>
                <w:numId w:val="8"/>
              </w:numPr>
            </w:pPr>
            <w:r>
              <w:t>Established significant trees/boulevards</w:t>
            </w:r>
          </w:p>
          <w:p w14:paraId="3A4A07E5" w14:textId="451DA8FE" w:rsidR="003313DD" w:rsidRDefault="003313DD" w:rsidP="00387A20">
            <w:pPr>
              <w:pStyle w:val="ListParagraph"/>
              <w:numPr>
                <w:ilvl w:val="0"/>
                <w:numId w:val="8"/>
              </w:numPr>
            </w:pPr>
            <w:r>
              <w:t>The Jewish heritage of St Kilda</w:t>
            </w:r>
          </w:p>
          <w:p w14:paraId="035097ED" w14:textId="4CF6FCB8" w:rsidR="003313DD" w:rsidRDefault="003313DD" w:rsidP="00387A20">
            <w:pPr>
              <w:pStyle w:val="ListParagraph"/>
              <w:numPr>
                <w:ilvl w:val="0"/>
                <w:numId w:val="8"/>
              </w:numPr>
            </w:pPr>
            <w:r>
              <w:t>Bluestone laneways</w:t>
            </w:r>
          </w:p>
        </w:tc>
        <w:tc>
          <w:tcPr>
            <w:tcW w:w="4253" w:type="dxa"/>
          </w:tcPr>
          <w:p w14:paraId="45E12348" w14:textId="14EBEAFA" w:rsidR="003313DD" w:rsidRDefault="00B26543" w:rsidP="00526E8F">
            <w:r>
              <w:t>Again t</w:t>
            </w:r>
            <w:r w:rsidR="00526E8F">
              <w:t xml:space="preserve">hese comments reveal a landscape-scale perspective, where attributes are valued collectively, or as a composition, rather than in isolation. </w:t>
            </w:r>
          </w:p>
        </w:tc>
      </w:tr>
      <w:tr w:rsidR="00181FEA" w14:paraId="00B5AE46" w14:textId="77777777" w:rsidTr="00526E8F">
        <w:tc>
          <w:tcPr>
            <w:tcW w:w="4247" w:type="dxa"/>
          </w:tcPr>
          <w:p w14:paraId="5056E27E" w14:textId="01861C88" w:rsidR="00181FEA" w:rsidRDefault="00181FEA" w:rsidP="00B46B85">
            <w:r>
              <w:t>Places of reflection, memor</w:t>
            </w:r>
            <w:r w:rsidR="00526E8F">
              <w:t>y</w:t>
            </w:r>
            <w:r>
              <w:t xml:space="preserve">, commemoration – i.e. St Kilda </w:t>
            </w:r>
            <w:r w:rsidR="00C64E5A">
              <w:t>Cemetery</w:t>
            </w:r>
            <w:r w:rsidR="008727F5">
              <w:t>, Women’s Welcome Home Rotunda</w:t>
            </w:r>
            <w:r w:rsidR="00526E8F">
              <w:t xml:space="preserve"> … </w:t>
            </w:r>
          </w:p>
        </w:tc>
        <w:tc>
          <w:tcPr>
            <w:tcW w:w="4253" w:type="dxa"/>
          </w:tcPr>
          <w:p w14:paraId="303BC9B3" w14:textId="46332C18" w:rsidR="00181FEA" w:rsidRDefault="00526E8F" w:rsidP="00B46B85">
            <w:r>
              <w:t xml:space="preserve">A typology where the views of the community and </w:t>
            </w:r>
            <w:r w:rsidR="0025245B">
              <w:t xml:space="preserve">heritage </w:t>
            </w:r>
            <w:r>
              <w:t xml:space="preserve">professionals are aligned.  </w:t>
            </w:r>
          </w:p>
        </w:tc>
      </w:tr>
      <w:tr w:rsidR="000439CB" w14:paraId="305A26AB" w14:textId="77777777" w:rsidTr="00526E8F">
        <w:tc>
          <w:tcPr>
            <w:tcW w:w="4247" w:type="dxa"/>
          </w:tcPr>
          <w:p w14:paraId="54EB6987" w14:textId="050AE80D" w:rsidR="000439CB" w:rsidRDefault="007A7867" w:rsidP="00896D36">
            <w:pPr>
              <w:pStyle w:val="list1"/>
              <w:numPr>
                <w:ilvl w:val="0"/>
                <w:numId w:val="0"/>
              </w:numPr>
            </w:pPr>
            <w:r>
              <w:t>Places where people congregate, where communal interaction is possible a</w:t>
            </w:r>
            <w:r w:rsidR="0025245B">
              <w:t>nd</w:t>
            </w:r>
            <w:r>
              <w:t xml:space="preserve"> valued – markets, Gas Works Park</w:t>
            </w:r>
            <w:r w:rsidR="00630B5C">
              <w:t xml:space="preserve"> and </w:t>
            </w:r>
            <w:r w:rsidR="00896D36">
              <w:t>the Trugo Club in Port Melbourne</w:t>
            </w:r>
            <w:r w:rsidR="00DB3BE1">
              <w:t xml:space="preserve"> etc </w:t>
            </w:r>
          </w:p>
        </w:tc>
        <w:tc>
          <w:tcPr>
            <w:tcW w:w="4253" w:type="dxa"/>
          </w:tcPr>
          <w:p w14:paraId="663C3F6D" w14:textId="149D9633" w:rsidR="000439CB" w:rsidRDefault="0091190B" w:rsidP="0064077A">
            <w:r>
              <w:t>Venues/locales for communal interaction are valued; places that foster a sense of community.  Some are recognised as heritage places as related to past histories or architecture, but others are not.</w:t>
            </w:r>
          </w:p>
        </w:tc>
      </w:tr>
      <w:tr w:rsidR="00592101" w14:paraId="5AEB91C3" w14:textId="77777777" w:rsidTr="00526E8F">
        <w:tc>
          <w:tcPr>
            <w:tcW w:w="4247" w:type="dxa"/>
          </w:tcPr>
          <w:p w14:paraId="0D8A4172" w14:textId="55952362" w:rsidR="00592101" w:rsidRPr="00DB3BE1" w:rsidRDefault="00592101" w:rsidP="00630B5C">
            <w:r w:rsidRPr="00DB3BE1">
              <w:t xml:space="preserve">Buildings that have re-purposed, extended etc are valued </w:t>
            </w:r>
            <w:r w:rsidR="007C2C82" w:rsidRPr="00DB3BE1">
              <w:t xml:space="preserve">– i.e. </w:t>
            </w:r>
            <w:r w:rsidR="00630B5C">
              <w:t xml:space="preserve">historic </w:t>
            </w:r>
            <w:r w:rsidR="007C2C82" w:rsidRPr="00DB3BE1">
              <w:t>hotels</w:t>
            </w:r>
            <w:r w:rsidR="00630B5C">
              <w:t xml:space="preserve"> and </w:t>
            </w:r>
            <w:r w:rsidR="00DB3BE1" w:rsidRPr="00DB3BE1">
              <w:t>industrial buildings adapted as apartments</w:t>
            </w:r>
            <w:r w:rsidR="009132E6">
              <w:t xml:space="preserve">. </w:t>
            </w:r>
          </w:p>
        </w:tc>
        <w:tc>
          <w:tcPr>
            <w:tcW w:w="4253" w:type="dxa"/>
          </w:tcPr>
          <w:p w14:paraId="1323AE8A" w14:textId="51B3938D" w:rsidR="00F8032D" w:rsidRDefault="009132E6" w:rsidP="0064077A">
            <w:r>
              <w:t>B</w:t>
            </w:r>
            <w:r w:rsidR="007C2C82" w:rsidRPr="00DB3BE1">
              <w:t xml:space="preserve">uildings </w:t>
            </w:r>
            <w:r w:rsidR="00630B5C">
              <w:t xml:space="preserve">whose form reveals their history </w:t>
            </w:r>
            <w:r w:rsidR="00DB3BE1">
              <w:t>are valued</w:t>
            </w:r>
            <w:r w:rsidR="00630B5C">
              <w:t>, and i</w:t>
            </w:r>
            <w:r w:rsidR="00F8032D" w:rsidRPr="00DB3BE1">
              <w:t xml:space="preserve">mperfections/quirks </w:t>
            </w:r>
            <w:r w:rsidR="00DB3BE1">
              <w:t>are celebrated</w:t>
            </w:r>
            <w:r w:rsidR="00F00368">
              <w:t>.  This is an important</w:t>
            </w:r>
            <w:r w:rsidR="00F8032D" w:rsidRPr="00DB3BE1">
              <w:t xml:space="preserve"> distinction with a rationale than underpins heritage studies, where integrity, intactness, perfection are </w:t>
            </w:r>
            <w:r>
              <w:t>privileged</w:t>
            </w:r>
            <w:r w:rsidR="00F00368">
              <w:t xml:space="preserve">. </w:t>
            </w:r>
          </w:p>
        </w:tc>
      </w:tr>
      <w:tr w:rsidR="000439CB" w14:paraId="01293A48" w14:textId="77777777" w:rsidTr="00526E8F">
        <w:tc>
          <w:tcPr>
            <w:tcW w:w="4247" w:type="dxa"/>
          </w:tcPr>
          <w:p w14:paraId="1A43D76F" w14:textId="29F9E871" w:rsidR="000439CB" w:rsidRDefault="007A7867" w:rsidP="0064077A">
            <w:pPr>
              <w:pStyle w:val="list1"/>
              <w:numPr>
                <w:ilvl w:val="0"/>
                <w:numId w:val="0"/>
              </w:numPr>
            </w:pPr>
            <w:r>
              <w:t>Places that have been lost – i.e. Brook</w:t>
            </w:r>
            <w:r w:rsidR="003D4CB4">
              <w:t>e</w:t>
            </w:r>
            <w:r>
              <w:t>s Jetty</w:t>
            </w:r>
            <w:r w:rsidR="003D4CB4">
              <w:t xml:space="preserve"> (part)</w:t>
            </w:r>
            <w:r w:rsidR="00C64E5A">
              <w:t>, London Hotel, Greyhound Hotel</w:t>
            </w:r>
          </w:p>
        </w:tc>
        <w:tc>
          <w:tcPr>
            <w:tcW w:w="4253" w:type="dxa"/>
          </w:tcPr>
          <w:p w14:paraId="6F8CA1D4" w14:textId="5B5FC916" w:rsidR="00F00368" w:rsidRPr="00F00368" w:rsidRDefault="0091190B" w:rsidP="0064077A">
            <w:r>
              <w:t>Does the significance of a place resonate even when the fabric has been removed, or does that resonance dissipate over time?  Is there an interest in retaining a memory of such place by way of interpretation or physical markers</w:t>
            </w:r>
          </w:p>
        </w:tc>
      </w:tr>
      <w:tr w:rsidR="008727F5" w14:paraId="5C8C8697" w14:textId="77777777" w:rsidTr="00526E8F">
        <w:tc>
          <w:tcPr>
            <w:tcW w:w="4247" w:type="dxa"/>
          </w:tcPr>
          <w:p w14:paraId="25AD7DCD" w14:textId="6F8176B3" w:rsidR="008727F5" w:rsidRDefault="00F00368" w:rsidP="0064077A">
            <w:pPr>
              <w:pStyle w:val="list1"/>
              <w:numPr>
                <w:ilvl w:val="0"/>
                <w:numId w:val="0"/>
              </w:numPr>
            </w:pPr>
            <w:r w:rsidRPr="00DD6446">
              <w:t>Attributes that are not buildings or place</w:t>
            </w:r>
            <w:r>
              <w:t>s: heritage plaques; table tennis table Cowderoy Street; children’s play equipment; enamel street signs; street parties; penguins</w:t>
            </w:r>
            <w:r w:rsidR="00F97BC9">
              <w:t xml:space="preserve">. </w:t>
            </w:r>
          </w:p>
        </w:tc>
        <w:tc>
          <w:tcPr>
            <w:tcW w:w="4253" w:type="dxa"/>
          </w:tcPr>
          <w:p w14:paraId="0BBFEA4F" w14:textId="77777777" w:rsidR="008727F5" w:rsidRPr="00AD1456" w:rsidRDefault="00F00368" w:rsidP="0064077A">
            <w:r>
              <w:t>These features/elements are i</w:t>
            </w:r>
            <w:r w:rsidR="00B93167">
              <w:t xml:space="preserve">ll-suited to recognition in the </w:t>
            </w:r>
            <w:r>
              <w:t xml:space="preserve">HO.  Explore other mechanisms to capture these valued attributes/elements.  </w:t>
            </w:r>
          </w:p>
        </w:tc>
      </w:tr>
    </w:tbl>
    <w:p w14:paraId="22C10451" w14:textId="19F0218A" w:rsidR="00F8032D" w:rsidRDefault="00F8032D" w:rsidP="00F8032D">
      <w:pPr>
        <w:pStyle w:val="Heading5"/>
      </w:pPr>
      <w:r>
        <w:t xml:space="preserve">Comment </w:t>
      </w:r>
    </w:p>
    <w:p w14:paraId="7C548FCF" w14:textId="4D4756C9" w:rsidR="00EB064E" w:rsidRDefault="00EB064E" w:rsidP="000439CB">
      <w:r w:rsidRPr="00EB064E">
        <w:t xml:space="preserve">The plurality of places valued by the community is consistent with the generally non-specialist nature of the community.  As distinct from asking architects what is valuable in a </w:t>
      </w:r>
      <w:r w:rsidR="00BD3E44">
        <w:t>locality</w:t>
      </w:r>
      <w:r w:rsidRPr="00EB064E">
        <w:t>,</w:t>
      </w:r>
      <w:r>
        <w:t xml:space="preserve"> which is likely to</w:t>
      </w:r>
      <w:r w:rsidRPr="00EB064E">
        <w:t xml:space="preserve"> elicit examples of buildings that are good examples of a particular type or era, putting the same qu</w:t>
      </w:r>
      <w:r>
        <w:t xml:space="preserve">estion to the community reveals a breadth of interests and priorities.  </w:t>
      </w:r>
    </w:p>
    <w:p w14:paraId="0C674062" w14:textId="20542FE1" w:rsidR="00FA7973" w:rsidRPr="006E17B7" w:rsidRDefault="006E17B7" w:rsidP="000439CB">
      <w:r>
        <w:t>It is note</w:t>
      </w:r>
      <w:r w:rsidR="00F32423">
        <w:t>d</w:t>
      </w:r>
      <w:r>
        <w:t xml:space="preserve"> that r</w:t>
      </w:r>
      <w:r w:rsidRPr="009C4F2B">
        <w:t>elatively few examples of the building typologies perceived as gaps in the PPHR (post-war places, industrial places and flats) were revealed through the consultation</w:t>
      </w:r>
      <w:r w:rsidR="00F32423">
        <w:t>.  Other notable o</w:t>
      </w:r>
      <w:r>
        <w:t>mis</w:t>
      </w:r>
      <w:r w:rsidR="00F32423">
        <w:t>s</w:t>
      </w:r>
      <w:r>
        <w:t xml:space="preserve">ions were residential buildings (which comprise the vast majority of heritage places controlled in the Planning Scheme) and churches/places of worship.  </w:t>
      </w:r>
    </w:p>
    <w:p w14:paraId="6AA6F880" w14:textId="4A36C4FC" w:rsidR="00A368BC" w:rsidRDefault="00B93167" w:rsidP="00A368BC">
      <w:pPr>
        <w:pStyle w:val="Heading2"/>
      </w:pPr>
      <w:bookmarkStart w:id="81" w:name="_Ref518652877"/>
      <w:bookmarkStart w:id="82" w:name="_Toc522766165"/>
      <w:r>
        <w:lastRenderedPageBreak/>
        <w:t>P</w:t>
      </w:r>
      <w:r w:rsidR="00A368BC">
        <w:t xml:space="preserve">laces (typologies and specific examples) </w:t>
      </w:r>
      <w:r>
        <w:t xml:space="preserve">that </w:t>
      </w:r>
      <w:r w:rsidR="00A368BC">
        <w:t>are valued b</w:t>
      </w:r>
      <w:r w:rsidR="00B5446C">
        <w:t xml:space="preserve">ut </w:t>
      </w:r>
      <w:r w:rsidR="00A368BC">
        <w:t>not controlled</w:t>
      </w:r>
      <w:bookmarkEnd w:id="81"/>
      <w:bookmarkEnd w:id="82"/>
    </w:p>
    <w:p w14:paraId="5B7A0417" w14:textId="77777777" w:rsidR="005D2168" w:rsidRDefault="005D2168" w:rsidP="005D2168">
      <w:r>
        <w:t xml:space="preserve">Council wishes to know what types of places are considered by the community to be under threat or under-represented in the PPHR, specifically hotels (pubs), flats, post-war places and places of social value.  </w:t>
      </w:r>
    </w:p>
    <w:p w14:paraId="72FBCF7A" w14:textId="77777777" w:rsidR="005D2168" w:rsidRDefault="005D2168" w:rsidP="005D2168">
      <w:r>
        <w:t xml:space="preserve">The question infers that there are gaps in the PPHR.  This is of course the case, as it is across most municipalities.  As time passes the social, economic and political context evolves and the heritage merits of places overlooked in the past come into sharper focus.  To date however, revisiting municipal heritage in the process of reviews or gap studies, remains an activity largely initiated by professionals reflecting an increasing interest in the built form of the recent past.  It is relatively rarely the product of community concerns.  </w:t>
      </w:r>
    </w:p>
    <w:p w14:paraId="41537574" w14:textId="6D81FB36" w:rsidR="005D2168" w:rsidRDefault="005D2168" w:rsidP="005D2168">
      <w:r>
        <w:t>In practice the findings of the survey did not demonstrate that there was a strong community sense that there were ‘typological’ omissions in the places which were the subject of heritage controls.  This is with the exception of the natural environment (beaches, coastal vegetation, trees etc.) whereby it was evident that there were gaps for the community in the recognition of landscapes and natural features.</w:t>
      </w:r>
    </w:p>
    <w:p w14:paraId="2E8F495E" w14:textId="77777777" w:rsidR="005D2168" w:rsidRDefault="005D2168" w:rsidP="005D2168"/>
    <w:p w14:paraId="12C6A4B6" w14:textId="2D1FF3BE" w:rsidR="008B36D2" w:rsidRDefault="008B36D2" w:rsidP="008B36D2">
      <w:pPr>
        <w:pStyle w:val="Caption"/>
      </w:pPr>
      <w:r>
        <w:t xml:space="preserve">Table </w:t>
      </w:r>
      <w:r w:rsidR="00E80953">
        <w:rPr>
          <w:noProof/>
        </w:rPr>
        <w:fldChar w:fldCharType="begin"/>
      </w:r>
      <w:r w:rsidR="00E80953">
        <w:rPr>
          <w:noProof/>
        </w:rPr>
        <w:instrText xml:space="preserve"> SEQ Table \* ARABIC </w:instrText>
      </w:r>
      <w:r w:rsidR="00E80953">
        <w:rPr>
          <w:noProof/>
        </w:rPr>
        <w:fldChar w:fldCharType="separate"/>
      </w:r>
      <w:r w:rsidR="003E105F">
        <w:rPr>
          <w:noProof/>
        </w:rPr>
        <w:t>7</w:t>
      </w:r>
      <w:r w:rsidR="00E80953">
        <w:rPr>
          <w:noProof/>
        </w:rPr>
        <w:fldChar w:fldCharType="end"/>
      </w:r>
      <w:r>
        <w:tab/>
      </w:r>
      <w:r w:rsidR="00DF643C">
        <w:t>Managing the Port Phillip Heritage Review</w:t>
      </w:r>
    </w:p>
    <w:tbl>
      <w:tblPr>
        <w:tblStyle w:val="TableGrid"/>
        <w:tblW w:w="0" w:type="auto"/>
        <w:tblLook w:val="04A0" w:firstRow="1" w:lastRow="0" w:firstColumn="1" w:lastColumn="0" w:noHBand="0" w:noVBand="1"/>
      </w:tblPr>
      <w:tblGrid>
        <w:gridCol w:w="4106"/>
        <w:gridCol w:w="4389"/>
      </w:tblGrid>
      <w:tr w:rsidR="008B36D2" w:rsidRPr="000439CB" w14:paraId="5250EC7B" w14:textId="77777777" w:rsidTr="00BD7147">
        <w:trPr>
          <w:tblHeader/>
        </w:trPr>
        <w:tc>
          <w:tcPr>
            <w:tcW w:w="4106" w:type="dxa"/>
          </w:tcPr>
          <w:p w14:paraId="69A9A6C4" w14:textId="77777777" w:rsidR="008B36D2" w:rsidRPr="000439CB" w:rsidRDefault="008B36D2" w:rsidP="00B46B85">
            <w:pPr>
              <w:rPr>
                <w:b/>
                <w:i/>
              </w:rPr>
            </w:pPr>
            <w:r>
              <w:rPr>
                <w:b/>
                <w:i/>
              </w:rPr>
              <w:t>Findings/data</w:t>
            </w:r>
          </w:p>
        </w:tc>
        <w:tc>
          <w:tcPr>
            <w:tcW w:w="4389" w:type="dxa"/>
          </w:tcPr>
          <w:p w14:paraId="2C6FA670" w14:textId="77777777" w:rsidR="008B36D2" w:rsidRPr="000439CB" w:rsidRDefault="008B36D2" w:rsidP="00B46B85">
            <w:pPr>
              <w:rPr>
                <w:b/>
                <w:i/>
              </w:rPr>
            </w:pPr>
            <w:r w:rsidRPr="000439CB">
              <w:rPr>
                <w:b/>
                <w:i/>
              </w:rPr>
              <w:t xml:space="preserve">Comment </w:t>
            </w:r>
          </w:p>
        </w:tc>
      </w:tr>
      <w:tr w:rsidR="00F33672" w14:paraId="57E20788" w14:textId="77777777" w:rsidTr="00BD7147">
        <w:tc>
          <w:tcPr>
            <w:tcW w:w="4106" w:type="dxa"/>
          </w:tcPr>
          <w:p w14:paraId="17D6E5BF" w14:textId="14193A37" w:rsidR="00F33672" w:rsidRDefault="00F33672" w:rsidP="00F33672">
            <w:r>
              <w:t>Places that are valued by the community but not controlled are united by amenity value (use), including beaches, p</w:t>
            </w:r>
            <w:r w:rsidRPr="00F33672">
              <w:t>ublic parks, gardens</w:t>
            </w:r>
            <w:r w:rsidR="00BD7147">
              <w:t>, p</w:t>
            </w:r>
            <w:r w:rsidRPr="00BD7147">
              <w:t>ublic places/venue</w:t>
            </w:r>
            <w:r w:rsidR="00BD7147" w:rsidRPr="00BD7147">
              <w:t>s, c</w:t>
            </w:r>
            <w:r w:rsidRPr="00BD7147">
              <w:t>ommunity facilities</w:t>
            </w:r>
            <w:r w:rsidR="00BD7147" w:rsidRPr="00BD7147">
              <w:t>, hotels and b</w:t>
            </w:r>
            <w:r w:rsidRPr="00BD7147">
              <w:t>ars/restaurants</w:t>
            </w:r>
            <w:r>
              <w:t xml:space="preserve"> </w:t>
            </w:r>
          </w:p>
        </w:tc>
        <w:tc>
          <w:tcPr>
            <w:tcW w:w="4389" w:type="dxa"/>
          </w:tcPr>
          <w:p w14:paraId="2A389612" w14:textId="065D4CE7" w:rsidR="00F33672" w:rsidRDefault="00BD7147" w:rsidP="008B36D2">
            <w:r>
              <w:t>For the community, a</w:t>
            </w:r>
            <w:r w:rsidR="00F33672">
              <w:t>esthetic</w:t>
            </w:r>
            <w:r>
              <w:t xml:space="preserve"> </w:t>
            </w:r>
            <w:r w:rsidR="00F33672">
              <w:t xml:space="preserve">considerations are </w:t>
            </w:r>
            <w:r>
              <w:t xml:space="preserve">secondary to use. </w:t>
            </w:r>
          </w:p>
        </w:tc>
      </w:tr>
      <w:tr w:rsidR="008B36D2" w14:paraId="001DA90B" w14:textId="77777777" w:rsidTr="00BD7147">
        <w:tc>
          <w:tcPr>
            <w:tcW w:w="4106" w:type="dxa"/>
          </w:tcPr>
          <w:p w14:paraId="058D03B4" w14:textId="77777777" w:rsidR="008B36D2" w:rsidRDefault="008B36D2" w:rsidP="008B36D2">
            <w:r>
              <w:t>Anonymous comment, paraphrased:</w:t>
            </w:r>
          </w:p>
          <w:p w14:paraId="0DD3BBC7" w14:textId="77777777" w:rsidR="008B36D2" w:rsidRDefault="008B36D2" w:rsidP="008B36D2">
            <w:pPr>
              <w:pStyle w:val="Quotation"/>
            </w:pPr>
            <w:r>
              <w:t>You don’t need to control more, you need to understand more about why people like the places that are included in the HO.</w:t>
            </w:r>
          </w:p>
        </w:tc>
        <w:tc>
          <w:tcPr>
            <w:tcW w:w="4389" w:type="dxa"/>
          </w:tcPr>
          <w:p w14:paraId="5281A27A" w14:textId="77777777" w:rsidR="00F33672" w:rsidRDefault="008B36D2" w:rsidP="008B36D2">
            <w:r>
              <w:t>The</w:t>
            </w:r>
            <w:r w:rsidR="00F33672">
              <w:t xml:space="preserve">re is a </w:t>
            </w:r>
            <w:r>
              <w:t xml:space="preserve">distinction to be drawn </w:t>
            </w:r>
            <w:r w:rsidR="00F33672">
              <w:t xml:space="preserve">between the </w:t>
            </w:r>
            <w:r w:rsidR="00A277D3">
              <w:t xml:space="preserve">reasons for </w:t>
            </w:r>
            <w:r>
              <w:t xml:space="preserve">community </w:t>
            </w:r>
            <w:r w:rsidR="007709AB">
              <w:t xml:space="preserve">sentiment and professional analysis.  </w:t>
            </w:r>
          </w:p>
          <w:p w14:paraId="0ED77B4A" w14:textId="2DF4AA6D" w:rsidR="008B36D2" w:rsidRPr="00B93167" w:rsidRDefault="008B36D2" w:rsidP="008B36D2">
            <w:r>
              <w:t>For instance, i</w:t>
            </w:r>
            <w:r w:rsidRPr="00B93167">
              <w:t xml:space="preserve">nterwar mansion blocks </w:t>
            </w:r>
            <w:r>
              <w:t xml:space="preserve">as a typology are valued by the gay community </w:t>
            </w:r>
            <w:r w:rsidR="007709AB">
              <w:t xml:space="preserve">of the CoPP </w:t>
            </w:r>
            <w:r>
              <w:t>for historic reasons</w:t>
            </w:r>
            <w:r w:rsidR="00F33672">
              <w:t xml:space="preserve"> (social)</w:t>
            </w:r>
            <w:r>
              <w:t>:</w:t>
            </w:r>
          </w:p>
          <w:p w14:paraId="7068B033" w14:textId="77777777" w:rsidR="008B36D2" w:rsidRDefault="008B36D2" w:rsidP="008B36D2">
            <w:pPr>
              <w:pStyle w:val="Quotation"/>
            </w:pPr>
            <w:r w:rsidRPr="00756B28">
              <w:t xml:space="preserve">The gay community gravitated to St Kilda </w:t>
            </w:r>
            <w:r w:rsidR="007709AB">
              <w:t xml:space="preserve">[in the 1920s] </w:t>
            </w:r>
            <w:r>
              <w:t>…</w:t>
            </w:r>
            <w:r w:rsidRPr="00756B28">
              <w:t xml:space="preserve"> partly because the mansion blocks here provided privacy.  They allowed gay people </w:t>
            </w:r>
            <w:r>
              <w:t xml:space="preserve">to </w:t>
            </w:r>
            <w:r w:rsidRPr="00756B28">
              <w:t xml:space="preserve">be discrete, without the neighbours looking over the garden fence … </w:t>
            </w:r>
          </w:p>
          <w:p w14:paraId="7BA18FFC" w14:textId="6EFD46CB" w:rsidR="00F33672" w:rsidRPr="00F33672" w:rsidRDefault="00F33672" w:rsidP="00F33672">
            <w:r>
              <w:t xml:space="preserve">Their value under the </w:t>
            </w:r>
            <w:r w:rsidRPr="00F33672">
              <w:rPr>
                <w:i/>
              </w:rPr>
              <w:t>Planning and Environment Act</w:t>
            </w:r>
            <w:r>
              <w:t xml:space="preserve"> relates to architectural and historical values – evidence of a interwar development in St Kilda etc.  </w:t>
            </w:r>
          </w:p>
        </w:tc>
      </w:tr>
      <w:tr w:rsidR="008B36D2" w14:paraId="7FBD5ECE" w14:textId="77777777" w:rsidTr="00BD7147">
        <w:tc>
          <w:tcPr>
            <w:tcW w:w="4106" w:type="dxa"/>
          </w:tcPr>
          <w:p w14:paraId="0CEAAD18" w14:textId="77777777" w:rsidR="008B36D2" w:rsidRDefault="008B36D2" w:rsidP="00B46B85">
            <w:r>
              <w:t xml:space="preserve">Anonymous comment: </w:t>
            </w:r>
          </w:p>
          <w:p w14:paraId="21FF17A3" w14:textId="77777777" w:rsidR="008B36D2" w:rsidRDefault="008B36D2" w:rsidP="00224ECF">
            <w:pPr>
              <w:pStyle w:val="Quotation"/>
            </w:pPr>
            <w:r w:rsidRPr="00ED5D91">
              <w:t xml:space="preserve">As part of its periodic heritage reviews, </w:t>
            </w:r>
            <w:r>
              <w:t xml:space="preserve">[Council should] </w:t>
            </w:r>
            <w:r w:rsidRPr="00ED5D91">
              <w:t xml:space="preserve">ensure that it considers which heritage listed sites should be REMOVED from the heritage register. </w:t>
            </w:r>
            <w:r>
              <w:t xml:space="preserve"> </w:t>
            </w:r>
            <w:r w:rsidRPr="00ED5D91">
              <w:t xml:space="preserve">Adding </w:t>
            </w:r>
            <w:r w:rsidRPr="00ED5D91">
              <w:lastRenderedPageBreak/>
              <w:t>new properties to the heritage register every few years will simply result in heritage overlay over the entire municipality …</w:t>
            </w:r>
          </w:p>
        </w:tc>
        <w:tc>
          <w:tcPr>
            <w:tcW w:w="4389" w:type="dxa"/>
          </w:tcPr>
          <w:p w14:paraId="1F29A4D2" w14:textId="77777777" w:rsidR="00BD7147" w:rsidRDefault="00224ECF" w:rsidP="00224ECF">
            <w:r w:rsidRPr="00224ECF">
              <w:lastRenderedPageBreak/>
              <w:t xml:space="preserve">Schedules to Heritage Overlays </w:t>
            </w:r>
            <w:r>
              <w:t xml:space="preserve">includes </w:t>
            </w:r>
            <w:r w:rsidRPr="00224ECF">
              <w:t>places that would be unlikely to meet current threshold tests</w:t>
            </w:r>
            <w:r>
              <w:t xml:space="preserve">.  This </w:t>
            </w:r>
            <w:r w:rsidRPr="00224ECF">
              <w:t xml:space="preserve">is particularly palpable for </w:t>
            </w:r>
            <w:r>
              <w:t xml:space="preserve">places of </w:t>
            </w:r>
            <w:r w:rsidRPr="00224ECF">
              <w:t>social valu</w:t>
            </w:r>
            <w:r>
              <w:t xml:space="preserve">e, </w:t>
            </w:r>
            <w:r w:rsidRPr="00224ECF">
              <w:t>given the necessarily dynamic nature of the values</w:t>
            </w:r>
            <w:r>
              <w:t>.</w:t>
            </w:r>
          </w:p>
          <w:p w14:paraId="2A4B581E" w14:textId="5FC4E247" w:rsidR="00224ECF" w:rsidRPr="00224ECF" w:rsidRDefault="00224ECF" w:rsidP="00224ECF">
            <w:r w:rsidRPr="00224ECF">
              <w:t>We invest considerable energy in assessing places and controlling them, but mechanisms for review of those values are few and far between</w:t>
            </w:r>
            <w:r>
              <w:t>.  I</w:t>
            </w:r>
            <w:r w:rsidRPr="00224ECF">
              <w:t xml:space="preserve">n </w:t>
            </w:r>
            <w:r w:rsidRPr="00224ECF">
              <w:lastRenderedPageBreak/>
              <w:t>practice, lists/registers only grow</w:t>
            </w:r>
            <w:r>
              <w:t xml:space="preserve">, </w:t>
            </w:r>
            <w:r w:rsidRPr="00224ECF">
              <w:t>and its arguable that they are overpopulated</w:t>
            </w:r>
            <w:r>
              <w:t>.</w:t>
            </w:r>
          </w:p>
          <w:p w14:paraId="27804AAC" w14:textId="48DBC3BB" w:rsidR="008B36D2" w:rsidRDefault="00224ECF" w:rsidP="00224ECF">
            <w:r>
              <w:t>Just as LGOs routinely seek to identify gaps, should they not also identify places whose relevance no longer applies?  H</w:t>
            </w:r>
            <w:r w:rsidRPr="00224ECF">
              <w:t>eritage is dynami</w:t>
            </w:r>
            <w:r>
              <w:t xml:space="preserve">c, </w:t>
            </w:r>
            <w:r w:rsidRPr="00224ECF">
              <w:t>and approaches to assessment</w:t>
            </w:r>
            <w:r>
              <w:t xml:space="preserve"> and </w:t>
            </w:r>
            <w:r w:rsidRPr="00224ECF">
              <w:t xml:space="preserve">interpretations of assessment criteria change … </w:t>
            </w:r>
            <w:r>
              <w:t>S</w:t>
            </w:r>
            <w:r w:rsidRPr="00224ECF">
              <w:t>o, by that rationale, there’s potential for places valued under previous regimes to lose rel</w:t>
            </w:r>
            <w:r w:rsidR="000C03BD">
              <w:t>evance and for values to evolve.</w:t>
            </w:r>
          </w:p>
        </w:tc>
      </w:tr>
    </w:tbl>
    <w:p w14:paraId="1EEAF921" w14:textId="751D5182" w:rsidR="008B36D2" w:rsidRDefault="008B36D2" w:rsidP="00B93167"/>
    <w:p w14:paraId="376416DE" w14:textId="66938D15" w:rsidR="00991ACD" w:rsidRDefault="00991ACD" w:rsidP="00991ACD">
      <w:pPr>
        <w:pStyle w:val="Heading3"/>
        <w:tabs>
          <w:tab w:val="clear" w:pos="2128"/>
        </w:tabs>
        <w:ind w:left="851"/>
      </w:pPr>
      <w:bookmarkStart w:id="83" w:name="_Toc522766166"/>
      <w:r>
        <w:t>Comment</w:t>
      </w:r>
      <w:bookmarkEnd w:id="83"/>
    </w:p>
    <w:p w14:paraId="77E91397" w14:textId="5F3BCE9F" w:rsidR="00F32423" w:rsidRPr="00F32423" w:rsidRDefault="00F32423" w:rsidP="000C03BD">
      <w:r w:rsidRPr="00F32423">
        <w:t>The gener</w:t>
      </w:r>
      <w:r>
        <w:t>al sense from the public is that it is the historic</w:t>
      </w:r>
      <w:r w:rsidRPr="00F32423">
        <w:t xml:space="preserve"> charact</w:t>
      </w:r>
      <w:r>
        <w:t xml:space="preserve">er in some parts of the municipality that is </w:t>
      </w:r>
      <w:r w:rsidRPr="00F32423">
        <w:t xml:space="preserve">under threat </w:t>
      </w:r>
      <w:r>
        <w:t>rather than</w:t>
      </w:r>
      <w:r w:rsidRPr="00F32423">
        <w:t xml:space="preserve"> individual buildings.</w:t>
      </w:r>
      <w:r w:rsidR="000C03BD">
        <w:t xml:space="preserve">  Another important observation is that the differences between the reasons for places being included in the PPHR and the reasons for communal sentiment for the same places represents a threat.  That is to say, communal sentiment for historic buildings and places must be assessed and understood if it is to be protected.  On this basis, places that are already controlled should be reassessed, including the identification of communal sentiment.</w:t>
      </w:r>
    </w:p>
    <w:p w14:paraId="5EF1EC9C" w14:textId="48337CF8" w:rsidR="00F32423" w:rsidRDefault="00F32423" w:rsidP="00F32423">
      <w:r>
        <w:t>As noted, r</w:t>
      </w:r>
      <w:r w:rsidRPr="009C4F2B">
        <w:t>elatively few examples of the building typologies perceived as gaps in the PPHR (post-war places, industrial places and flats) were revealed through the consultation</w:t>
      </w:r>
      <w:r>
        <w:t xml:space="preserve">.  Likewise, residential buildings and places of worship did not feature prominently.  </w:t>
      </w:r>
    </w:p>
    <w:p w14:paraId="7B326D32" w14:textId="4CF2531A" w:rsidR="00E85B86" w:rsidRPr="00E85B86" w:rsidRDefault="00F32423" w:rsidP="00E85B86">
      <w:r>
        <w:t>Place/building typologies that were prominent in the community feedback included: h</w:t>
      </w:r>
      <w:r w:rsidRPr="00DA6EF7">
        <w:t>istoric retail strips</w:t>
      </w:r>
      <w:r>
        <w:t xml:space="preserve">; parks, </w:t>
      </w:r>
      <w:r w:rsidRPr="00DA6EF7">
        <w:t xml:space="preserve">gardens </w:t>
      </w:r>
      <w:r>
        <w:t>and public open space; and m</w:t>
      </w:r>
      <w:r w:rsidR="000C03BD">
        <w:t xml:space="preserve">emorials.  There would be purpose in undertaking </w:t>
      </w:r>
      <w:r>
        <w:t xml:space="preserve">studies </w:t>
      </w:r>
      <w:r w:rsidR="000C03BD">
        <w:t xml:space="preserve">of places known to be valued by the community in order to </w:t>
      </w:r>
      <w:r>
        <w:t>gather an evidence base of social sentiment</w:t>
      </w:r>
      <w:r w:rsidR="000C03BD">
        <w:t xml:space="preserve"> independent of anticipated change.  This reflects a recognition that social value that exists independent of ‘threat’ is quite different to the emotionally-charged sentiment, and heightened sense of community, that is generated when a place valued by a community is proposed for change.  </w:t>
      </w:r>
    </w:p>
    <w:p w14:paraId="6594AE31" w14:textId="13F8F93A" w:rsidR="00A368BC" w:rsidRDefault="00A368BC" w:rsidP="00A368BC">
      <w:pPr>
        <w:pStyle w:val="Heading2"/>
      </w:pPr>
      <w:bookmarkStart w:id="84" w:name="_Toc522766167"/>
      <w:r>
        <w:t>Public appreciation of heritage control</w:t>
      </w:r>
      <w:r w:rsidR="00344C18">
        <w:t xml:space="preserve">s and </w:t>
      </w:r>
      <w:r>
        <w:t>programs</w:t>
      </w:r>
      <w:bookmarkEnd w:id="84"/>
      <w:r>
        <w:t xml:space="preserve"> </w:t>
      </w:r>
    </w:p>
    <w:p w14:paraId="4AC8D987" w14:textId="77777777" w:rsidR="005D2168" w:rsidRPr="008E548C" w:rsidRDefault="005D2168" w:rsidP="005D2168">
      <w:r w:rsidRPr="008E548C">
        <w:t xml:space="preserve">One of the challenges presented in the Project Brief was to establish the extent to which the community is aware of Council’s contributions in recognising and promoting heritage in the CoPP.  These issues were not addressed directly in the survey, but did come up in face-to-face meetings, both explicitly and </w:t>
      </w:r>
      <w:r>
        <w:t xml:space="preserve">as </w:t>
      </w:r>
      <w:r w:rsidRPr="008E548C">
        <w:t>inferred.</w:t>
      </w:r>
    </w:p>
    <w:p w14:paraId="6A094673" w14:textId="37457AC3" w:rsidR="00A434B9" w:rsidRDefault="00A434B9" w:rsidP="00A434B9">
      <w:pPr>
        <w:pStyle w:val="Caption"/>
      </w:pPr>
      <w:r>
        <w:t xml:space="preserve">Table </w:t>
      </w:r>
      <w:r w:rsidR="00E80953">
        <w:rPr>
          <w:noProof/>
        </w:rPr>
        <w:fldChar w:fldCharType="begin"/>
      </w:r>
      <w:r w:rsidR="00E80953">
        <w:rPr>
          <w:noProof/>
        </w:rPr>
        <w:instrText xml:space="preserve"> SEQ Table \* ARABIC </w:instrText>
      </w:r>
      <w:r w:rsidR="00E80953">
        <w:rPr>
          <w:noProof/>
        </w:rPr>
        <w:fldChar w:fldCharType="separate"/>
      </w:r>
      <w:r w:rsidR="003E105F">
        <w:rPr>
          <w:noProof/>
        </w:rPr>
        <w:t>8</w:t>
      </w:r>
      <w:r w:rsidR="00E80953">
        <w:rPr>
          <w:noProof/>
        </w:rPr>
        <w:fldChar w:fldCharType="end"/>
      </w:r>
      <w:r>
        <w:tab/>
        <w:t xml:space="preserve">Public appreciation of </w:t>
      </w:r>
      <w:r w:rsidRPr="00A434B9">
        <w:t>Council</w:t>
      </w:r>
      <w:r>
        <w:t xml:space="preserve"> initiatives </w:t>
      </w:r>
      <w:r w:rsidRPr="00A434B9">
        <w:t>in recognising and promoting heritage</w:t>
      </w:r>
    </w:p>
    <w:tbl>
      <w:tblPr>
        <w:tblStyle w:val="TableGrid"/>
        <w:tblW w:w="0" w:type="auto"/>
        <w:tblLook w:val="04A0" w:firstRow="1" w:lastRow="0" w:firstColumn="1" w:lastColumn="0" w:noHBand="0" w:noVBand="1"/>
      </w:tblPr>
      <w:tblGrid>
        <w:gridCol w:w="4957"/>
        <w:gridCol w:w="3538"/>
      </w:tblGrid>
      <w:tr w:rsidR="00A434B9" w:rsidRPr="000439CB" w14:paraId="6BDC91F6" w14:textId="77777777" w:rsidTr="007F03FD">
        <w:trPr>
          <w:tblHeader/>
        </w:trPr>
        <w:tc>
          <w:tcPr>
            <w:tcW w:w="4957" w:type="dxa"/>
          </w:tcPr>
          <w:p w14:paraId="00E0A5DD" w14:textId="77777777" w:rsidR="00A434B9" w:rsidRPr="000439CB" w:rsidRDefault="00A434B9" w:rsidP="00B46B85">
            <w:pPr>
              <w:rPr>
                <w:b/>
                <w:i/>
              </w:rPr>
            </w:pPr>
            <w:r>
              <w:rPr>
                <w:b/>
                <w:i/>
              </w:rPr>
              <w:t>Findings/data</w:t>
            </w:r>
          </w:p>
        </w:tc>
        <w:tc>
          <w:tcPr>
            <w:tcW w:w="3538" w:type="dxa"/>
          </w:tcPr>
          <w:p w14:paraId="4547BAF8" w14:textId="77777777" w:rsidR="00A434B9" w:rsidRPr="000439CB" w:rsidRDefault="00A434B9" w:rsidP="00B46B85">
            <w:pPr>
              <w:rPr>
                <w:b/>
                <w:i/>
              </w:rPr>
            </w:pPr>
            <w:r w:rsidRPr="000439CB">
              <w:rPr>
                <w:b/>
                <w:i/>
              </w:rPr>
              <w:t xml:space="preserve">Comment </w:t>
            </w:r>
          </w:p>
        </w:tc>
      </w:tr>
      <w:tr w:rsidR="00A434B9" w:rsidRPr="00A434B9" w14:paraId="47EA4F89" w14:textId="77777777" w:rsidTr="007F03FD">
        <w:tc>
          <w:tcPr>
            <w:tcW w:w="4957" w:type="dxa"/>
          </w:tcPr>
          <w:p w14:paraId="07D875D1" w14:textId="0DA05660" w:rsidR="00A434B9" w:rsidRPr="00A434B9" w:rsidRDefault="00C35A95" w:rsidP="00A434B9">
            <w:r>
              <w:t xml:space="preserve">Survey outcomes. </w:t>
            </w:r>
          </w:p>
        </w:tc>
        <w:tc>
          <w:tcPr>
            <w:tcW w:w="3538" w:type="dxa"/>
          </w:tcPr>
          <w:p w14:paraId="162C98B0" w14:textId="76F23AB1" w:rsidR="00ED5BDA" w:rsidRPr="00ED5BDA" w:rsidRDefault="005D2168" w:rsidP="00A434B9">
            <w:r>
              <w:t xml:space="preserve">At a general level, it is apparent that the community as a whole has a limited understanding of the planning system, resulting in unrealistic expectations about their capacity and potential to influence outcomes.  </w:t>
            </w:r>
          </w:p>
        </w:tc>
      </w:tr>
      <w:tr w:rsidR="00A434B9" w:rsidRPr="00A434B9" w14:paraId="1E6EBFD4" w14:textId="77777777" w:rsidTr="007F03FD">
        <w:tc>
          <w:tcPr>
            <w:tcW w:w="4957" w:type="dxa"/>
          </w:tcPr>
          <w:p w14:paraId="59B308D6" w14:textId="1FB51930" w:rsidR="00A434B9" w:rsidRDefault="00ED5BDA" w:rsidP="00A434B9">
            <w:r>
              <w:t>General acceptance in f</w:t>
            </w:r>
            <w:r w:rsidRPr="00A434B9">
              <w:t>ace-to-face meetings</w:t>
            </w:r>
            <w:r>
              <w:t xml:space="preserve"> that intangible values are ill-suited to management through the Planning Scheme </w:t>
            </w:r>
          </w:p>
          <w:p w14:paraId="019408C1" w14:textId="27207E13" w:rsidR="00C61357" w:rsidRDefault="00C61357" w:rsidP="00A434B9">
            <w:r>
              <w:t>Peter Holland, unChain St Kilda:</w:t>
            </w:r>
          </w:p>
          <w:p w14:paraId="4466E7A9" w14:textId="77777777" w:rsidR="00C35A95" w:rsidRPr="00C35A95" w:rsidRDefault="00C35A95" w:rsidP="00C35A95">
            <w:pPr>
              <w:pStyle w:val="Quotation"/>
              <w:rPr>
                <w:shd w:val="clear" w:color="auto" w:fill="FFFFFF"/>
              </w:rPr>
            </w:pPr>
            <w:r w:rsidRPr="00C35A95">
              <w:rPr>
                <w:shd w:val="clear" w:color="auto" w:fill="FFFFFF"/>
              </w:rPr>
              <w:lastRenderedPageBreak/>
              <w:t>The redevelopment of the London Hotel was quite reasonable.</w:t>
            </w:r>
          </w:p>
          <w:p w14:paraId="3AD22A24" w14:textId="77777777" w:rsidR="00C35A95" w:rsidRDefault="00C35A95" w:rsidP="00C35A95">
            <w:r>
              <w:t>High Riser:</w:t>
            </w:r>
          </w:p>
          <w:p w14:paraId="02FA0C12" w14:textId="2BA78890" w:rsidR="00C35A95" w:rsidRPr="00A434B9" w:rsidRDefault="00C35A95" w:rsidP="00C61357">
            <w:pPr>
              <w:pStyle w:val="Quotation"/>
            </w:pPr>
            <w:r>
              <w:rPr>
                <w:shd w:val="clear" w:color="auto" w:fill="FFFFFF"/>
              </w:rPr>
              <w:t>I don't blame the owners [of the Greyhound] for […] refusing a good offer.  I don't really blame the council or the very evil VCAT for the issuing of a demolition permit for The Greyhound.  It is all quite legal and the building has no great architectural merit.  Yet it has an intangible quality and adds to the immediate area.  Sometimes I just don't have the word skills to express things as I would like, and this is one such occasion.</w:t>
            </w:r>
            <w:r>
              <w:rPr>
                <w:rStyle w:val="FootnoteReference"/>
                <w:shd w:val="clear" w:color="auto" w:fill="FFFFFF"/>
              </w:rPr>
              <w:footnoteReference w:id="47"/>
            </w:r>
          </w:p>
        </w:tc>
        <w:tc>
          <w:tcPr>
            <w:tcW w:w="3538" w:type="dxa"/>
          </w:tcPr>
          <w:p w14:paraId="4DADC516" w14:textId="18D042A3" w:rsidR="00A434B9" w:rsidRPr="00A434B9" w:rsidRDefault="00C35A95" w:rsidP="00A434B9">
            <w:r>
              <w:lastRenderedPageBreak/>
              <w:t xml:space="preserve">The degree of public appreciation is determined by personal perspective – knowledge, capacity and background.  </w:t>
            </w:r>
          </w:p>
        </w:tc>
      </w:tr>
      <w:tr w:rsidR="00AF326D" w:rsidRPr="00A434B9" w14:paraId="563541DC" w14:textId="77777777" w:rsidTr="007F03FD">
        <w:tc>
          <w:tcPr>
            <w:tcW w:w="4957" w:type="dxa"/>
          </w:tcPr>
          <w:p w14:paraId="5291902C" w14:textId="77777777" w:rsidR="00C61357" w:rsidRDefault="00C61357" w:rsidP="00845970">
            <w:r>
              <w:t>Aspiration for greater responsibility:</w:t>
            </w:r>
          </w:p>
          <w:p w14:paraId="19C1E28A" w14:textId="48F60035" w:rsidR="00AF326D" w:rsidRDefault="005F2470" w:rsidP="00845970">
            <w:r>
              <w:t>Anonymous quotes</w:t>
            </w:r>
            <w:r w:rsidR="00AF326D">
              <w:t>:</w:t>
            </w:r>
          </w:p>
          <w:p w14:paraId="3E1C764A" w14:textId="3AC0EC48" w:rsidR="00AF326D" w:rsidRPr="00C35A95" w:rsidRDefault="00AF326D" w:rsidP="00C35A95">
            <w:pPr>
              <w:pStyle w:val="Quotation"/>
              <w:rPr>
                <w:shd w:val="clear" w:color="auto" w:fill="FFFFFF"/>
              </w:rPr>
            </w:pPr>
            <w:r w:rsidRPr="00C35A95">
              <w:rPr>
                <w:shd w:val="clear" w:color="auto" w:fill="FFFFFF"/>
              </w:rPr>
              <w:t>It shouldn’t just be about Council taking a lead … it can be very heavy handed.  We [the community] should take more responsibility</w:t>
            </w:r>
            <w:r w:rsidR="00C35A95">
              <w:rPr>
                <w:shd w:val="clear" w:color="auto" w:fill="FFFFFF"/>
              </w:rPr>
              <w:t xml:space="preserve">. </w:t>
            </w:r>
          </w:p>
          <w:p w14:paraId="5150681F" w14:textId="060B95D4" w:rsidR="00DA1E04" w:rsidRPr="00DA1E04" w:rsidRDefault="00DA1E04" w:rsidP="00C35A95">
            <w:pPr>
              <w:pStyle w:val="Quotation"/>
            </w:pPr>
            <w:r w:rsidRPr="00C35A95">
              <w:rPr>
                <w:shd w:val="clear" w:color="auto" w:fill="FFFFFF"/>
              </w:rPr>
              <w:t xml:space="preserve">I think in general empowering the community is better than empowering the authority in managing the risks to heritage. </w:t>
            </w:r>
            <w:r w:rsidR="00C35A95">
              <w:rPr>
                <w:shd w:val="clear" w:color="auto" w:fill="FFFFFF"/>
              </w:rPr>
              <w:t xml:space="preserve"> … T</w:t>
            </w:r>
            <w:r w:rsidRPr="00C35A95">
              <w:rPr>
                <w:shd w:val="clear" w:color="auto" w:fill="FFFFFF"/>
              </w:rPr>
              <w:t xml:space="preserve">he community should take the central stage. </w:t>
            </w:r>
            <w:r w:rsidR="00C35A95">
              <w:rPr>
                <w:shd w:val="clear" w:color="auto" w:fill="FFFFFF"/>
              </w:rPr>
              <w:t xml:space="preserve"> </w:t>
            </w:r>
            <w:r w:rsidRPr="00C35A95">
              <w:rPr>
                <w:shd w:val="clear" w:color="auto" w:fill="FFFFFF"/>
              </w:rPr>
              <w:t xml:space="preserve">Creating an online platform for the community to post photographs etc is a very good way but one should understand the distinction in an authority hosted website and a privately hosted one. </w:t>
            </w:r>
            <w:r w:rsidR="00C35A95">
              <w:rPr>
                <w:shd w:val="clear" w:color="auto" w:fill="FFFFFF"/>
              </w:rPr>
              <w:t xml:space="preserve"> </w:t>
            </w:r>
            <w:r w:rsidRPr="00C35A95">
              <w:rPr>
                <w:shd w:val="clear" w:color="auto" w:fill="FFFFFF"/>
              </w:rPr>
              <w:t>People don’t necessarily want to post the personal things on a Council’s website for various reasons…</w:t>
            </w:r>
          </w:p>
        </w:tc>
        <w:tc>
          <w:tcPr>
            <w:tcW w:w="3538" w:type="dxa"/>
          </w:tcPr>
          <w:p w14:paraId="14B74741" w14:textId="6C787A2C" w:rsidR="00AF326D" w:rsidRPr="00A434B9" w:rsidRDefault="005D2168" w:rsidP="00845970">
            <w:r>
              <w:t>Community groups perceive that they have more to offer, and on occasions see the Council as ‘heavy handed’.  The challenge is that while the community can be empowered and to a degree already is, to address issues of social value the mechanisms for the protection of those values currently relies on the planning framework as implemented by Council.  Accordingly, the advancement of the issues raised in this study will rely on partnering of the community/community groups with Council.</w:t>
            </w:r>
          </w:p>
        </w:tc>
      </w:tr>
    </w:tbl>
    <w:p w14:paraId="3A299A18" w14:textId="77777777" w:rsidR="00E57615" w:rsidRPr="00AF326D" w:rsidRDefault="00E57615" w:rsidP="00E57615">
      <w:pPr>
        <w:pStyle w:val="Heading3"/>
        <w:numPr>
          <w:ilvl w:val="0"/>
          <w:numId w:val="0"/>
        </w:numPr>
      </w:pPr>
    </w:p>
    <w:p w14:paraId="69096262" w14:textId="51D1E7B0" w:rsidR="00E57615" w:rsidRDefault="00E57615" w:rsidP="00E57615">
      <w:pPr>
        <w:pStyle w:val="Heading3"/>
        <w:tabs>
          <w:tab w:val="clear" w:pos="2128"/>
        </w:tabs>
        <w:ind w:left="851"/>
      </w:pPr>
      <w:bookmarkStart w:id="85" w:name="_Ref520719349"/>
      <w:bookmarkStart w:id="86" w:name="_Toc522766168"/>
      <w:r>
        <w:t>Comment</w:t>
      </w:r>
      <w:bookmarkEnd w:id="85"/>
      <w:bookmarkEnd w:id="86"/>
    </w:p>
    <w:p w14:paraId="54A469FE" w14:textId="77777777" w:rsidR="005D2168" w:rsidRDefault="005D2168" w:rsidP="005D2168">
      <w:r>
        <w:t>As would be expected it is recognised that</w:t>
      </w:r>
      <w:r w:rsidRPr="000A7C5C">
        <w:t xml:space="preserve"> individuals and groups – including historical societies and activist associations – </w:t>
      </w:r>
      <w:r>
        <w:t>have</w:t>
      </w:r>
      <w:r w:rsidRPr="000A7C5C">
        <w:t xml:space="preserve"> a sophisticated appreciation of heritage legislation and the variety of programs run by Council.  At a general level, however, it is apparent that the community has a limited understanding of the planning system</w:t>
      </w:r>
      <w:r>
        <w:t xml:space="preserve"> and what can be achieved</w:t>
      </w:r>
      <w:r w:rsidRPr="000A7C5C">
        <w:t xml:space="preserve">.  </w:t>
      </w:r>
    </w:p>
    <w:p w14:paraId="4283060C" w14:textId="77777777" w:rsidR="005D2168" w:rsidRDefault="005D2168" w:rsidP="005D2168">
      <w:r>
        <w:lastRenderedPageBreak/>
        <w:t>In response to this, and to facilitate the community’s capacity to participate in and influence heritage outcomes, C</w:t>
      </w:r>
      <w:r w:rsidRPr="00CE1DB7">
        <w:t xml:space="preserve">ouncil </w:t>
      </w:r>
      <w:r>
        <w:t xml:space="preserve">needs to </w:t>
      </w:r>
      <w:r w:rsidRPr="00CE1DB7">
        <w:t>promote an understanding of the purpose and limitations of the Planning System as related to herita</w:t>
      </w:r>
      <w:r>
        <w:t xml:space="preserve">ge considerations – i.e. </w:t>
      </w:r>
      <w:r w:rsidRPr="00CE1DB7">
        <w:t xml:space="preserve">there is limited potential for the Planning System to manage buildings/elements </w:t>
      </w:r>
      <w:r>
        <w:t>which do not fit the ‘conventional’ notion of</w:t>
      </w:r>
      <w:r w:rsidRPr="00CE1DB7">
        <w:t xml:space="preserve"> places of significance; the Planning System is </w:t>
      </w:r>
      <w:r>
        <w:t xml:space="preserve">particularly </w:t>
      </w:r>
      <w:r w:rsidRPr="00CE1DB7">
        <w:t xml:space="preserve">ill-suited to the management of intangible heritage values; and </w:t>
      </w:r>
      <w:r>
        <w:t>it</w:t>
      </w:r>
      <w:r w:rsidRPr="00CE1DB7">
        <w:t xml:space="preserve"> has limited capacity to prevent a change of use where the existing use is no longer viable.  </w:t>
      </w:r>
    </w:p>
    <w:p w14:paraId="7CB2369B" w14:textId="39F08CA7" w:rsidR="005D2168" w:rsidRPr="005D2168" w:rsidRDefault="005D2168" w:rsidP="005D2168">
      <w:r>
        <w:t xml:space="preserve">Options to communicate what is achievable under the Planning System include: reviewing the heritage content on CoPP’s website, perhaps through ‘Frequently Asked Questions’ and/or case studies to illustrate key issues.  Council’s website and other public interface tools should also provide forums for the community to tell Council what is important to them – for instance, a mapping tool on the website. </w:t>
      </w:r>
    </w:p>
    <w:p w14:paraId="7023D483" w14:textId="6E0B8337" w:rsidR="00B5446C" w:rsidRDefault="00A368BC" w:rsidP="00B5446C">
      <w:pPr>
        <w:pStyle w:val="Heading2"/>
      </w:pPr>
      <w:bookmarkStart w:id="87" w:name="_Toc522766169"/>
      <w:r>
        <w:t xml:space="preserve">What more </w:t>
      </w:r>
      <w:r w:rsidR="00A813FF">
        <w:t xml:space="preserve">can </w:t>
      </w:r>
      <w:r>
        <w:t>Council do to identify, protect and celebrate heritage</w:t>
      </w:r>
      <w:r w:rsidR="00B5446C">
        <w:t>?</w:t>
      </w:r>
      <w:bookmarkEnd w:id="87"/>
      <w:r w:rsidR="00B5446C">
        <w:t xml:space="preserve"> </w:t>
      </w:r>
    </w:p>
    <w:p w14:paraId="3EDF1D4D" w14:textId="38FB714D" w:rsidR="005D2168" w:rsidRDefault="005D2168" w:rsidP="005D2168">
      <w:r w:rsidRPr="00E57615">
        <w:t>The</w:t>
      </w:r>
      <w:r>
        <w:t xml:space="preserve"> importance of</w:t>
      </w:r>
      <w:r w:rsidRPr="00E57615">
        <w:t xml:space="preserve"> explor</w:t>
      </w:r>
      <w:r>
        <w:t>ing a</w:t>
      </w:r>
      <w:r w:rsidRPr="00E57615">
        <w:t xml:space="preserve">lternatives to the Planning Scheme as </w:t>
      </w:r>
      <w:r>
        <w:t xml:space="preserve">a </w:t>
      </w:r>
      <w:r w:rsidRPr="00E57615">
        <w:t>tool to identify, protect and celebrate heritage</w:t>
      </w:r>
      <w:r>
        <w:t xml:space="preserve"> places was emphasised at the inception stage.  The issue was a core part of the survey and was discussed at all face-to-face meetings and was generally warmly embraced.  As a result a number of opportunities have been identified, some of which are discussed in </w:t>
      </w:r>
      <w:r>
        <w:fldChar w:fldCharType="begin"/>
      </w:r>
      <w:r>
        <w:instrText xml:space="preserve"> REF _Ref518660227 \h </w:instrText>
      </w:r>
      <w:r>
        <w:fldChar w:fldCharType="separate"/>
      </w:r>
      <w:r w:rsidR="003E105F">
        <w:t xml:space="preserve">Table </w:t>
      </w:r>
      <w:r w:rsidR="003E105F">
        <w:rPr>
          <w:noProof/>
        </w:rPr>
        <w:t>9</w:t>
      </w:r>
      <w:r>
        <w:fldChar w:fldCharType="end"/>
      </w:r>
      <w:r>
        <w:t xml:space="preserve"> below. </w:t>
      </w:r>
    </w:p>
    <w:p w14:paraId="1073D955" w14:textId="77777777" w:rsidR="005D2168" w:rsidRDefault="005D2168" w:rsidP="005D2168">
      <w:r>
        <w:t xml:space="preserve">The subject is also addressed in a range of academic literature.  Elizabeth Auclair and Graham Fairclough in </w:t>
      </w:r>
      <w:r w:rsidRPr="00BF0B98">
        <w:rPr>
          <w:i/>
        </w:rPr>
        <w:t>Theory and Practice in Heritage and Sustainability</w:t>
      </w:r>
      <w:r>
        <w:t xml:space="preserve">, describe the contribution that heritage makes to sustainability as ‘coming from the process of </w:t>
      </w:r>
      <w:r>
        <w:rPr>
          <w:i/>
        </w:rPr>
        <w:t>doing heritage</w:t>
      </w:r>
      <w:r>
        <w:t>, a cultural and social engagement with the past in order to survive the present and make the future’</w:t>
      </w:r>
      <w:r>
        <w:rPr>
          <w:rStyle w:val="FootnoteReference"/>
        </w:rPr>
        <w:footnoteReference w:id="48"/>
      </w:r>
      <w:r>
        <w:t xml:space="preserve">  A conclusion being that heritage and engagement in heritage processes should be understood as contributing to social sustainability.</w:t>
      </w:r>
    </w:p>
    <w:p w14:paraId="6BD08184" w14:textId="77777777" w:rsidR="00AA64B1" w:rsidRDefault="00AA64B1" w:rsidP="00AA64B1"/>
    <w:p w14:paraId="2DC6A1D0" w14:textId="26A2BC67" w:rsidR="00E57615" w:rsidRDefault="00E57615" w:rsidP="00E57615">
      <w:pPr>
        <w:pStyle w:val="Caption"/>
      </w:pPr>
      <w:bookmarkStart w:id="88" w:name="_Ref518660227"/>
      <w:r>
        <w:t xml:space="preserve">Table </w:t>
      </w:r>
      <w:r w:rsidR="00E80953">
        <w:rPr>
          <w:noProof/>
        </w:rPr>
        <w:fldChar w:fldCharType="begin"/>
      </w:r>
      <w:r w:rsidR="00E80953">
        <w:rPr>
          <w:noProof/>
        </w:rPr>
        <w:instrText xml:space="preserve"> SEQ Table \* ARABIC </w:instrText>
      </w:r>
      <w:r w:rsidR="00E80953">
        <w:rPr>
          <w:noProof/>
        </w:rPr>
        <w:fldChar w:fldCharType="separate"/>
      </w:r>
      <w:r w:rsidR="003E105F">
        <w:rPr>
          <w:noProof/>
        </w:rPr>
        <w:t>9</w:t>
      </w:r>
      <w:r w:rsidR="00E80953">
        <w:rPr>
          <w:noProof/>
        </w:rPr>
        <w:fldChar w:fldCharType="end"/>
      </w:r>
      <w:bookmarkEnd w:id="88"/>
      <w:r>
        <w:tab/>
        <w:t>Alternative</w:t>
      </w:r>
      <w:r w:rsidR="00902622">
        <w:t xml:space="preserve"> approaches to identifying, protecting and celebrating heritage places </w:t>
      </w:r>
    </w:p>
    <w:tbl>
      <w:tblPr>
        <w:tblStyle w:val="TableGrid"/>
        <w:tblW w:w="0" w:type="auto"/>
        <w:tblLook w:val="04A0" w:firstRow="1" w:lastRow="0" w:firstColumn="1" w:lastColumn="0" w:noHBand="0" w:noVBand="1"/>
      </w:tblPr>
      <w:tblGrid>
        <w:gridCol w:w="3964"/>
        <w:gridCol w:w="4531"/>
      </w:tblGrid>
      <w:tr w:rsidR="00E57615" w:rsidRPr="000439CB" w14:paraId="3B6CFD24" w14:textId="77777777" w:rsidTr="00D81CF3">
        <w:trPr>
          <w:tblHeader/>
        </w:trPr>
        <w:tc>
          <w:tcPr>
            <w:tcW w:w="3964" w:type="dxa"/>
          </w:tcPr>
          <w:p w14:paraId="383A6D92" w14:textId="77777777" w:rsidR="00E57615" w:rsidRPr="000439CB" w:rsidRDefault="00E57615" w:rsidP="00B46B85">
            <w:pPr>
              <w:rPr>
                <w:b/>
                <w:i/>
              </w:rPr>
            </w:pPr>
            <w:r>
              <w:rPr>
                <w:b/>
                <w:i/>
              </w:rPr>
              <w:t>Findings/data</w:t>
            </w:r>
          </w:p>
        </w:tc>
        <w:tc>
          <w:tcPr>
            <w:tcW w:w="4531" w:type="dxa"/>
          </w:tcPr>
          <w:p w14:paraId="348A5F0B" w14:textId="77777777" w:rsidR="00E57615" w:rsidRPr="000439CB" w:rsidRDefault="00E57615" w:rsidP="00B46B85">
            <w:pPr>
              <w:rPr>
                <w:b/>
                <w:i/>
              </w:rPr>
            </w:pPr>
            <w:r w:rsidRPr="000439CB">
              <w:rPr>
                <w:b/>
                <w:i/>
              </w:rPr>
              <w:t xml:space="preserve">Comment </w:t>
            </w:r>
          </w:p>
        </w:tc>
      </w:tr>
      <w:tr w:rsidR="00C61357" w:rsidRPr="00A434B9" w14:paraId="3FAA1366" w14:textId="77777777" w:rsidTr="00D81CF3">
        <w:tc>
          <w:tcPr>
            <w:tcW w:w="3964" w:type="dxa"/>
          </w:tcPr>
          <w:p w14:paraId="386F5F86" w14:textId="1B54AF10" w:rsidR="00C61357" w:rsidRDefault="00C61357" w:rsidP="00B46B85">
            <w:r>
              <w:t>Recognise that engagement/consultation can be cathartic/empowering</w:t>
            </w:r>
            <w:r w:rsidR="008467A0">
              <w:t>.</w:t>
            </w:r>
          </w:p>
        </w:tc>
        <w:tc>
          <w:tcPr>
            <w:tcW w:w="4531" w:type="dxa"/>
          </w:tcPr>
          <w:p w14:paraId="549F3FEC" w14:textId="77777777" w:rsidR="005D2168" w:rsidRDefault="005D2168" w:rsidP="005D2168">
            <w:r>
              <w:t xml:space="preserve">Explore new models of engagement – it should be on-going, not just at a time of crisis.  </w:t>
            </w:r>
          </w:p>
          <w:p w14:paraId="23B05B44" w14:textId="7C641F11" w:rsidR="005D2168" w:rsidRPr="00ED5BDA" w:rsidRDefault="005D2168" w:rsidP="005D2168">
            <w:r>
              <w:t>Acknowledge that seeking the views of the community can be a tool for empowerment.  However, consultation should have an object and an outcome.</w:t>
            </w:r>
          </w:p>
        </w:tc>
      </w:tr>
      <w:tr w:rsidR="00E57615" w:rsidRPr="00A434B9" w14:paraId="0D3FAA5F" w14:textId="77777777" w:rsidTr="00D81CF3">
        <w:tc>
          <w:tcPr>
            <w:tcW w:w="3964" w:type="dxa"/>
          </w:tcPr>
          <w:p w14:paraId="5F38273E" w14:textId="7CD29AC6" w:rsidR="00D81CF3" w:rsidRPr="00A434B9" w:rsidRDefault="00902622" w:rsidP="00C55FD3">
            <w:r>
              <w:t>Interpretation programs (plaques</w:t>
            </w:r>
            <w:r w:rsidR="008467A0">
              <w:t xml:space="preserve">, public art etc) </w:t>
            </w:r>
            <w:r w:rsidR="00C55FD3">
              <w:t>are almost universally applauded, and align directly with the community’s interest in the history/stories of heritage places.  However, a number of c</w:t>
            </w:r>
            <w:r w:rsidR="00D81CF3">
              <w:t xml:space="preserve">oncerns </w:t>
            </w:r>
            <w:r w:rsidR="00C55FD3">
              <w:t xml:space="preserve">were </w:t>
            </w:r>
            <w:r w:rsidR="00D81CF3">
              <w:t xml:space="preserve">expressed about </w:t>
            </w:r>
            <w:r w:rsidR="00C55FD3">
              <w:t xml:space="preserve">the </w:t>
            </w:r>
            <w:r w:rsidR="00D81CF3">
              <w:t>impermanence</w:t>
            </w:r>
            <w:r w:rsidR="00C55FD3">
              <w:t xml:space="preserve"> of interpretation plaques and signage, and uncertainty about who takes responsibility for them. </w:t>
            </w:r>
          </w:p>
        </w:tc>
        <w:tc>
          <w:tcPr>
            <w:tcW w:w="4531" w:type="dxa"/>
          </w:tcPr>
          <w:p w14:paraId="139EE5D0" w14:textId="77777777" w:rsidR="005D2168" w:rsidRDefault="005D2168" w:rsidP="005D2168">
            <w:r w:rsidRPr="00614B87">
              <w:t>Interpretation plans for places of social value should be co-created by professionals and community groups</w:t>
            </w:r>
            <w:r>
              <w:t>, including the identification of themes, stories and graphic content</w:t>
            </w:r>
            <w:r w:rsidRPr="00200872">
              <w:t xml:space="preserve">.  </w:t>
            </w:r>
            <w:r>
              <w:t>T</w:t>
            </w:r>
            <w:r w:rsidRPr="00200872">
              <w:t>he identification of locations for the delivery of in-situ interpretation, and the selection of interpretive</w:t>
            </w:r>
            <w:r>
              <w:t xml:space="preserve"> mediums should likewise be exercises in co-creation.  </w:t>
            </w:r>
          </w:p>
          <w:p w14:paraId="51E3216C" w14:textId="77777777" w:rsidR="005D2168" w:rsidRDefault="005D2168" w:rsidP="005D2168">
            <w:r>
              <w:t xml:space="preserve">Explore opportunities to make interpretation a more central part of the design and development process for places where change is proposed – to be addressed early in the process; too often it’s an after-thought.  This would provide opportunities for interpretation to be integrated into the built and/or </w:t>
            </w:r>
            <w:r>
              <w:lastRenderedPageBreak/>
              <w:t>landscape response, approaches which can be particularly powerful and enduring.</w:t>
            </w:r>
          </w:p>
          <w:p w14:paraId="08465536" w14:textId="1186034E" w:rsidR="00D81CF3" w:rsidRPr="005D2168" w:rsidRDefault="005D2168" w:rsidP="005D2168">
            <w:pPr>
              <w:rPr>
                <w:b/>
              </w:rPr>
            </w:pPr>
            <w:r>
              <w:t>It would be highly desirable for Council to include guidelines for interpretation in any new heritage guidelines document.</w:t>
            </w:r>
            <w:r w:rsidR="00AA64B1" w:rsidRPr="005D2168">
              <w:rPr>
                <w:b/>
              </w:rPr>
              <w:t>.</w:t>
            </w:r>
          </w:p>
        </w:tc>
      </w:tr>
      <w:tr w:rsidR="00BF0B98" w:rsidRPr="00BF0B98" w14:paraId="2E1F10FA" w14:textId="77777777" w:rsidTr="00D81CF3">
        <w:tc>
          <w:tcPr>
            <w:tcW w:w="3964" w:type="dxa"/>
          </w:tcPr>
          <w:p w14:paraId="02ED4007" w14:textId="77777777" w:rsidR="00902622" w:rsidRPr="00BF0B98" w:rsidRDefault="00BF0B98" w:rsidP="00BF0B98">
            <w:r w:rsidRPr="00BF0B98">
              <w:lastRenderedPageBreak/>
              <w:t>Walking tours and open house should be combined and should be as frequent as financially possible</w:t>
            </w:r>
          </w:p>
        </w:tc>
        <w:tc>
          <w:tcPr>
            <w:tcW w:w="4531" w:type="dxa"/>
          </w:tcPr>
          <w:p w14:paraId="62BE0051" w14:textId="77777777" w:rsidR="00902622" w:rsidRPr="00BF0B98" w:rsidRDefault="00BF0B98" w:rsidP="00BF0B98">
            <w:r>
              <w:t xml:space="preserve">Explore opportunities to stage </w:t>
            </w:r>
            <w:r w:rsidRPr="00BF0B98">
              <w:t>Open House with a musical twist</w:t>
            </w:r>
            <w:r>
              <w:t xml:space="preserve"> – i.e. r</w:t>
            </w:r>
            <w:r w:rsidRPr="00BF0B98">
              <w:t xml:space="preserve">e-establish the ‘Live N Local’ model, where bands played in unexpected venues – combine access to heritage buildings with live music (another aspect of St Kilda culture) ***LNL is returning in August/September 2018, https://www.livenlocal.com.au) – was the precursor to the St Kilda Festival </w:t>
            </w:r>
          </w:p>
        </w:tc>
      </w:tr>
      <w:tr w:rsidR="00902622" w:rsidRPr="00A434B9" w14:paraId="2DCBBF61" w14:textId="77777777" w:rsidTr="00D81CF3">
        <w:tc>
          <w:tcPr>
            <w:tcW w:w="3964" w:type="dxa"/>
          </w:tcPr>
          <w:p w14:paraId="78DB005D" w14:textId="404AFDBE" w:rsidR="00BF0B98" w:rsidRDefault="005F2470" w:rsidP="00BF0B98">
            <w:r>
              <w:t>Anonymous quote</w:t>
            </w:r>
            <w:r w:rsidR="00BF0B98">
              <w:t xml:space="preserve">: </w:t>
            </w:r>
          </w:p>
          <w:p w14:paraId="04A9DCCF" w14:textId="648FD6B4" w:rsidR="00902622" w:rsidRPr="00A434B9" w:rsidRDefault="00C55FD3" w:rsidP="00BF0B98">
            <w:pPr>
              <w:pStyle w:val="Quotation"/>
            </w:pPr>
            <w:r>
              <w:t>‘</w:t>
            </w:r>
            <w:r w:rsidR="00BF0B98" w:rsidRPr="006A0230">
              <w:t>I wonder whether we need to make more space for grief, mourning and letting go to heritage buildings/places that are lost</w:t>
            </w:r>
            <w:r w:rsidR="00A0326C">
              <w:t>.</w:t>
            </w:r>
            <w:r>
              <w:t>’</w:t>
            </w:r>
          </w:p>
        </w:tc>
        <w:tc>
          <w:tcPr>
            <w:tcW w:w="4531" w:type="dxa"/>
          </w:tcPr>
          <w:p w14:paraId="00B3A351" w14:textId="77777777" w:rsidR="00902622" w:rsidRDefault="00C55FD3" w:rsidP="00C55FD3">
            <w:r>
              <w:t xml:space="preserve">The importance of mourning (or ‘saying goodbye’) to heritage places was raised by a number of participants to the consultation program.  The idea reveals both an acceptance of change, and the emotional dimension of communal attachment to place.  </w:t>
            </w:r>
          </w:p>
          <w:p w14:paraId="0388AFC5" w14:textId="06B38A2E" w:rsidR="00AA64B1" w:rsidRPr="00A434B9" w:rsidRDefault="005D2168" w:rsidP="00C55FD3">
            <w:r>
              <w:t>The expected response to such considerations is interpretation but perhaps there are other less overt ways in which places that are lost can be mourned and remembered.</w:t>
            </w:r>
          </w:p>
        </w:tc>
      </w:tr>
    </w:tbl>
    <w:p w14:paraId="7137CEEA" w14:textId="77777777" w:rsidR="004564F6" w:rsidRDefault="004564F6" w:rsidP="004564F6">
      <w:pPr>
        <w:pStyle w:val="Heading3"/>
        <w:numPr>
          <w:ilvl w:val="0"/>
          <w:numId w:val="0"/>
        </w:numPr>
        <w:ind w:left="2128" w:hanging="851"/>
      </w:pPr>
    </w:p>
    <w:p w14:paraId="1752FB16" w14:textId="611156B2" w:rsidR="00E57615" w:rsidRDefault="00BF0B98" w:rsidP="00BF0B98">
      <w:pPr>
        <w:pStyle w:val="Heading3"/>
        <w:tabs>
          <w:tab w:val="clear" w:pos="2128"/>
        </w:tabs>
        <w:ind w:left="851"/>
      </w:pPr>
      <w:bookmarkStart w:id="89" w:name="_Toc522766170"/>
      <w:r w:rsidRPr="00BF0B98">
        <w:t>Comment</w:t>
      </w:r>
      <w:bookmarkEnd w:id="89"/>
      <w:r w:rsidRPr="00BF0B98">
        <w:t xml:space="preserve"> </w:t>
      </w:r>
    </w:p>
    <w:p w14:paraId="191CCE8F" w14:textId="5900035A" w:rsidR="004564F6" w:rsidRDefault="004564F6" w:rsidP="004564F6">
      <w:r>
        <w:t xml:space="preserve">Related to the recommendations for supporting the capacity of the community to participate in the management of heritage issues articulated at Section </w:t>
      </w:r>
      <w:r>
        <w:fldChar w:fldCharType="begin"/>
      </w:r>
      <w:r>
        <w:instrText xml:space="preserve"> REF _Ref520719349 \r \h </w:instrText>
      </w:r>
      <w:r>
        <w:fldChar w:fldCharType="separate"/>
      </w:r>
      <w:r w:rsidR="003E105F">
        <w:t>6.6.1</w:t>
      </w:r>
      <w:r>
        <w:fldChar w:fldCharType="end"/>
      </w:r>
      <w:r>
        <w:t xml:space="preserve">, Council should promote an understanding that there are approaches to acknowledging communal attachment to heritage places that do not rely on formal recognition under the Planning System, including interpretation and recording.  </w:t>
      </w:r>
    </w:p>
    <w:p w14:paraId="4B57301F" w14:textId="54ED1BD1" w:rsidR="006109D0" w:rsidRDefault="00B5446C" w:rsidP="006109D0">
      <w:pPr>
        <w:pStyle w:val="Heading1"/>
      </w:pPr>
      <w:bookmarkStart w:id="90" w:name="_Ref519777349"/>
      <w:bookmarkStart w:id="91" w:name="_Toc522766171"/>
      <w:r>
        <w:t>Recommendations</w:t>
      </w:r>
      <w:bookmarkEnd w:id="90"/>
      <w:bookmarkEnd w:id="91"/>
    </w:p>
    <w:p w14:paraId="70EBD8C3" w14:textId="2379D479" w:rsidR="003739EE" w:rsidRDefault="00A23738" w:rsidP="003739EE">
      <w:pPr>
        <w:pStyle w:val="Heading2"/>
      </w:pPr>
      <w:bookmarkStart w:id="92" w:name="_Toc522766172"/>
      <w:r>
        <w:t>Heritage Program</w:t>
      </w:r>
      <w:bookmarkEnd w:id="92"/>
    </w:p>
    <w:p w14:paraId="7494A71C" w14:textId="5945FED6" w:rsidR="00DE0CDC" w:rsidRDefault="00DE0CDC" w:rsidP="00DE0CDC">
      <w:r>
        <w:t xml:space="preserve">The following recommendations are intended to be implemented in future stages of the Heritage Program (2018-21).  Exceptions are the recommendations relating to </w:t>
      </w:r>
      <w:r w:rsidR="00BE13C1">
        <w:t xml:space="preserve">an </w:t>
      </w:r>
      <w:r>
        <w:t xml:space="preserve">‘Historic </w:t>
      </w:r>
      <w:r w:rsidR="00BE13C1">
        <w:t>Urban Landscape Plan</w:t>
      </w:r>
      <w:r w:rsidR="006037CA">
        <w:t>’.  It is anticipated that</w:t>
      </w:r>
      <w:r>
        <w:t xml:space="preserve"> these recommendations would be implemented over a longer period.  </w:t>
      </w:r>
    </w:p>
    <w:p w14:paraId="05DBE210" w14:textId="77777777" w:rsidR="00DE0CDC" w:rsidRDefault="00DE0CDC" w:rsidP="00DE0CDC">
      <w:r>
        <w:t xml:space="preserve">By way of introductory comment, consideration of communal sentiment for places based on experience and practice (social values) should form part of all future heritage assessments. </w:t>
      </w:r>
    </w:p>
    <w:p w14:paraId="033F389B" w14:textId="77777777" w:rsidR="001F6261" w:rsidRDefault="00EE3A8C" w:rsidP="00EF24A7">
      <w:pPr>
        <w:pStyle w:val="Heading3"/>
        <w:tabs>
          <w:tab w:val="clear" w:pos="2128"/>
        </w:tabs>
        <w:ind w:left="851"/>
      </w:pPr>
      <w:bookmarkStart w:id="93" w:name="_Ref520378448"/>
      <w:bookmarkStart w:id="94" w:name="_Toc522766173"/>
      <w:r>
        <w:t xml:space="preserve">Review of the </w:t>
      </w:r>
      <w:r w:rsidR="004D439C">
        <w:t>PPHR</w:t>
      </w:r>
      <w:bookmarkEnd w:id="93"/>
      <w:bookmarkEnd w:id="94"/>
      <w:r w:rsidR="004D439C">
        <w:t xml:space="preserve"> </w:t>
      </w:r>
    </w:p>
    <w:p w14:paraId="35CB4B13" w14:textId="546ABD56" w:rsidR="006037CA" w:rsidRDefault="00EE3A8C" w:rsidP="00742A3E">
      <w:r w:rsidRPr="00EE3A8C">
        <w:t xml:space="preserve">The PPHR should be updated </w:t>
      </w:r>
      <w:r>
        <w:t xml:space="preserve">and reviewed </w:t>
      </w:r>
      <w:r w:rsidR="001F6261">
        <w:t xml:space="preserve">to reflect outcomes of the Stage 1 community consultation.  </w:t>
      </w:r>
      <w:r w:rsidR="006571A7">
        <w:t xml:space="preserve">Deliverables should include the following: </w:t>
      </w:r>
    </w:p>
    <w:p w14:paraId="3E056D4C" w14:textId="77777777" w:rsidR="006037CA" w:rsidRPr="00174C8C" w:rsidRDefault="006037CA" w:rsidP="006037CA">
      <w:pPr>
        <w:pStyle w:val="list1"/>
        <w:numPr>
          <w:ilvl w:val="0"/>
          <w:numId w:val="10"/>
        </w:numPr>
        <w:rPr>
          <w:i/>
        </w:rPr>
      </w:pPr>
      <w:r w:rsidRPr="00174C8C">
        <w:rPr>
          <w:i/>
        </w:rPr>
        <w:t xml:space="preserve">The </w:t>
      </w:r>
      <w:r w:rsidRPr="009A5EB8">
        <w:rPr>
          <w:i/>
        </w:rPr>
        <w:t xml:space="preserve">Port Phillip Thematic Environmental History </w:t>
      </w:r>
      <w:r w:rsidRPr="00174C8C">
        <w:rPr>
          <w:i/>
        </w:rPr>
        <w:t xml:space="preserve">(TEH) should be reviewed and updated to reflect the outcomes of Stage 1 of the Heritage Program.  </w:t>
      </w:r>
    </w:p>
    <w:p w14:paraId="713EDBEA" w14:textId="7FC66EE0" w:rsidR="006037CA" w:rsidRDefault="006037CA" w:rsidP="006037CA">
      <w:pPr>
        <w:pStyle w:val="list1"/>
        <w:numPr>
          <w:ilvl w:val="0"/>
          <w:numId w:val="0"/>
        </w:numPr>
        <w:ind w:left="1004"/>
      </w:pPr>
      <w:r>
        <w:t xml:space="preserve">A review of the </w:t>
      </w:r>
      <w:r w:rsidRPr="004853DE">
        <w:t>TEH i</w:t>
      </w:r>
      <w:r>
        <w:t>s required to</w:t>
      </w:r>
      <w:r w:rsidRPr="005E7410">
        <w:t xml:space="preserve"> </w:t>
      </w:r>
      <w:r>
        <w:t xml:space="preserve">identify ‘gaps’ in the current TEH, one of which is the way the natural landscape has been changed over time, and its current relationship with and </w:t>
      </w:r>
      <w:r>
        <w:lastRenderedPageBreak/>
        <w:t xml:space="preserve">expression within the historic landscape.  A longer-term objective of the review is to establish a framework for the implementation of an Historic Urban Landscape response to heritage management (see also Section </w:t>
      </w:r>
      <w:r>
        <w:fldChar w:fldCharType="begin"/>
      </w:r>
      <w:r>
        <w:instrText xml:space="preserve"> REF _Ref522629271 \r \h </w:instrText>
      </w:r>
      <w:r>
        <w:fldChar w:fldCharType="separate"/>
      </w:r>
      <w:r w:rsidR="003E105F">
        <w:t>7.2</w:t>
      </w:r>
      <w:r>
        <w:fldChar w:fldCharType="end"/>
      </w:r>
      <w:r>
        <w:t xml:space="preserve">). </w:t>
      </w:r>
    </w:p>
    <w:p w14:paraId="1387A203" w14:textId="77777777" w:rsidR="006037CA" w:rsidRPr="00174C8C" w:rsidRDefault="006037CA" w:rsidP="006037CA">
      <w:pPr>
        <w:pStyle w:val="list1"/>
        <w:numPr>
          <w:ilvl w:val="0"/>
          <w:numId w:val="10"/>
        </w:numPr>
        <w:rPr>
          <w:i/>
        </w:rPr>
      </w:pPr>
      <w:r w:rsidRPr="00174C8C">
        <w:rPr>
          <w:i/>
        </w:rPr>
        <w:t xml:space="preserve">Review citations for ‘Significant’ places identified by the community during Stage 1.  </w:t>
      </w:r>
    </w:p>
    <w:p w14:paraId="555F0642" w14:textId="476D0915" w:rsidR="006037CA" w:rsidRDefault="006037CA" w:rsidP="006037CA">
      <w:pPr>
        <w:pStyle w:val="list1"/>
        <w:numPr>
          <w:ilvl w:val="0"/>
          <w:numId w:val="0"/>
        </w:numPr>
        <w:ind w:left="1004"/>
      </w:pPr>
      <w:r w:rsidRPr="00FA3D32">
        <w:t xml:space="preserve">The methodology for the review should prioritise the identification of community groups that may have a sense of communal </w:t>
      </w:r>
      <w:r>
        <w:t xml:space="preserve">attachment to the places, </w:t>
      </w:r>
      <w:r w:rsidRPr="00FA3D32">
        <w:t xml:space="preserve">and </w:t>
      </w:r>
      <w:r>
        <w:t xml:space="preserve">strategies for assessing, analysing and describing </w:t>
      </w:r>
      <w:r w:rsidRPr="00FA3D32">
        <w:t>the natur</w:t>
      </w:r>
      <w:r>
        <w:t xml:space="preserve">e of their attachment (see </w:t>
      </w:r>
      <w:r w:rsidRPr="00FA3D32">
        <w:t xml:space="preserve">Section </w:t>
      </w:r>
      <w:r w:rsidRPr="00FA3D32">
        <w:fldChar w:fldCharType="begin"/>
      </w:r>
      <w:r w:rsidRPr="00FA3D32">
        <w:instrText xml:space="preserve"> REF _Ref518986807 \r \h </w:instrText>
      </w:r>
      <w:r>
        <w:instrText xml:space="preserve"> \* MERGEFORMAT </w:instrText>
      </w:r>
      <w:r w:rsidRPr="00FA3D32">
        <w:fldChar w:fldCharType="separate"/>
      </w:r>
      <w:r w:rsidR="003E105F">
        <w:t>5.0</w:t>
      </w:r>
      <w:r w:rsidRPr="00FA3D32">
        <w:fldChar w:fldCharType="end"/>
      </w:r>
      <w:r w:rsidRPr="00FA3D32">
        <w:t>).  These places includ</w:t>
      </w:r>
      <w:r>
        <w:t xml:space="preserve">e but may not be limited to places listed at </w:t>
      </w:r>
      <w:r>
        <w:fldChar w:fldCharType="begin"/>
      </w:r>
      <w:r>
        <w:instrText xml:space="preserve"> REF _Ref520721043 \h </w:instrText>
      </w:r>
      <w:r>
        <w:fldChar w:fldCharType="separate"/>
      </w:r>
      <w:r w:rsidR="003E105F">
        <w:t xml:space="preserve">Table </w:t>
      </w:r>
      <w:r w:rsidR="003E105F">
        <w:rPr>
          <w:noProof/>
        </w:rPr>
        <w:t>10</w:t>
      </w:r>
      <w:r>
        <w:fldChar w:fldCharType="end"/>
      </w:r>
      <w:r>
        <w:t>.  Ultimately such a review would lead to a formal revision of the relevant statements of significance.</w:t>
      </w:r>
    </w:p>
    <w:p w14:paraId="39800285" w14:textId="77777777" w:rsidR="006037CA" w:rsidRPr="00174C8C" w:rsidRDefault="006037CA" w:rsidP="006037CA">
      <w:pPr>
        <w:pStyle w:val="list1"/>
        <w:rPr>
          <w:i/>
        </w:rPr>
      </w:pPr>
      <w:r w:rsidRPr="00174C8C">
        <w:rPr>
          <w:i/>
        </w:rPr>
        <w:t>Institute a review process for places that are included in the HO and have been assessed as being of social value.</w:t>
      </w:r>
    </w:p>
    <w:p w14:paraId="4AED97FA" w14:textId="6CE6080D" w:rsidR="00D74CB0" w:rsidRPr="00D74CB0" w:rsidRDefault="006037CA" w:rsidP="00D74CB0">
      <w:pPr>
        <w:pStyle w:val="list1"/>
        <w:numPr>
          <w:ilvl w:val="0"/>
          <w:numId w:val="0"/>
        </w:numPr>
        <w:ind w:left="1004"/>
      </w:pPr>
      <w:r w:rsidRPr="00D57567">
        <w:t xml:space="preserve">Council should implement mechanisms for </w:t>
      </w:r>
      <w:r>
        <w:t>periodic reviews of t</w:t>
      </w:r>
      <w:r w:rsidRPr="00D57567">
        <w:t>he assessments of social value, recognising the dynamic nature of the value</w:t>
      </w:r>
      <w:r>
        <w:t xml:space="preserve">.  </w:t>
      </w:r>
    </w:p>
    <w:p w14:paraId="77A455D7" w14:textId="77777777" w:rsidR="006037CA" w:rsidRPr="00174C8C" w:rsidRDefault="006037CA" w:rsidP="006037CA">
      <w:pPr>
        <w:pStyle w:val="list1"/>
      </w:pPr>
      <w:r w:rsidRPr="009A2B77">
        <w:rPr>
          <w:i/>
        </w:rPr>
        <w:t>Review citations for HO precincts</w:t>
      </w:r>
      <w:r>
        <w:rPr>
          <w:i/>
        </w:rPr>
        <w:t xml:space="preserve"> to address non-contributory places identified as of social value</w:t>
      </w:r>
      <w:r w:rsidRPr="009A2B77">
        <w:rPr>
          <w:i/>
        </w:rPr>
        <w:t xml:space="preserve">.  </w:t>
      </w:r>
    </w:p>
    <w:p w14:paraId="767E0C1E" w14:textId="5B945B62" w:rsidR="006037CA" w:rsidRPr="00D57567" w:rsidRDefault="006037CA" w:rsidP="006037CA">
      <w:pPr>
        <w:pStyle w:val="list1"/>
        <w:numPr>
          <w:ilvl w:val="0"/>
          <w:numId w:val="0"/>
        </w:numPr>
        <w:ind w:left="1004"/>
      </w:pPr>
      <w:r>
        <w:t xml:space="preserve">Non-contributory buildings/elements/attributes within HO precincts identified by the community during Stage 1 should be assessed during the review of the precinct citations – it is probable that many of these will not be considered ‘heritage’ places and may warrant recognition through means other than through the existing planning provisions.  These places include but may not be limited to those listed at </w:t>
      </w:r>
      <w:r>
        <w:fldChar w:fldCharType="begin"/>
      </w:r>
      <w:r>
        <w:instrText xml:space="preserve"> REF _Ref520378635 \h </w:instrText>
      </w:r>
      <w:r>
        <w:fldChar w:fldCharType="separate"/>
      </w:r>
      <w:r w:rsidR="003E105F">
        <w:t xml:space="preserve">Table </w:t>
      </w:r>
      <w:r w:rsidR="003E105F">
        <w:rPr>
          <w:noProof/>
        </w:rPr>
        <w:t>3</w:t>
      </w:r>
      <w:r>
        <w:fldChar w:fldCharType="end"/>
      </w:r>
      <w:r w:rsidR="00D74CB0">
        <w:t>.</w:t>
      </w:r>
      <w:r w:rsidR="00D74CB0">
        <w:rPr>
          <w:rStyle w:val="FootnoteReference"/>
        </w:rPr>
        <w:footnoteReference w:id="49"/>
      </w:r>
    </w:p>
    <w:p w14:paraId="5CA3D435" w14:textId="77777777" w:rsidR="006037CA" w:rsidRDefault="006037CA" w:rsidP="006037CA">
      <w:pPr>
        <w:pStyle w:val="list1"/>
      </w:pPr>
      <w:r w:rsidRPr="00174C8C">
        <w:rPr>
          <w:i/>
        </w:rPr>
        <w:t>Review the list of places that are not subject to any heritage controls identified by at least five members of the community (directly or indirectly) through this process</w:t>
      </w:r>
      <w:r>
        <w:t xml:space="preserve"> </w:t>
      </w:r>
    </w:p>
    <w:p w14:paraId="1410D218" w14:textId="402585B8" w:rsidR="006037CA" w:rsidRDefault="006037CA" w:rsidP="006037CA">
      <w:pPr>
        <w:pStyle w:val="list1"/>
        <w:numPr>
          <w:ilvl w:val="0"/>
          <w:numId w:val="0"/>
        </w:numPr>
        <w:ind w:left="1004"/>
      </w:pPr>
      <w:r>
        <w:t xml:space="preserve">Some of these places (see </w:t>
      </w:r>
      <w:r>
        <w:fldChar w:fldCharType="begin"/>
      </w:r>
      <w:r>
        <w:instrText xml:space="preserve"> REF _Ref522611707 \h </w:instrText>
      </w:r>
      <w:r>
        <w:fldChar w:fldCharType="separate"/>
      </w:r>
      <w:r w:rsidR="003E105F">
        <w:t xml:space="preserve">Table </w:t>
      </w:r>
      <w:r w:rsidR="003E105F">
        <w:rPr>
          <w:noProof/>
        </w:rPr>
        <w:t>4</w:t>
      </w:r>
      <w:r>
        <w:fldChar w:fldCharType="end"/>
      </w:r>
      <w:r>
        <w:t xml:space="preserve">) will warrant formal identification for heritage reasons, others may not and require recognition and possibly protection through other means (discussed below). </w:t>
      </w:r>
    </w:p>
    <w:p w14:paraId="64589837" w14:textId="77777777" w:rsidR="006037CA" w:rsidRPr="00174C8C" w:rsidRDefault="006037CA" w:rsidP="006037CA">
      <w:pPr>
        <w:pStyle w:val="list1"/>
        <w:rPr>
          <w:i/>
        </w:rPr>
      </w:pPr>
      <w:r w:rsidRPr="00174C8C">
        <w:rPr>
          <w:i/>
        </w:rPr>
        <w:t xml:space="preserve">Scope studies for building/place typologies identified in Stage 1 as being of significance to the community.  </w:t>
      </w:r>
    </w:p>
    <w:p w14:paraId="35D46A58" w14:textId="383CA743" w:rsidR="006037CA" w:rsidRPr="00171F09" w:rsidRDefault="006037CA" w:rsidP="006037CA">
      <w:pPr>
        <w:pStyle w:val="list1"/>
        <w:numPr>
          <w:ilvl w:val="0"/>
          <w:numId w:val="0"/>
        </w:numPr>
        <w:ind w:left="1004"/>
      </w:pPr>
      <w:r w:rsidRPr="00171F09">
        <w:t xml:space="preserve">The objective would be </w:t>
      </w:r>
      <w:r>
        <w:t xml:space="preserve">to </w:t>
      </w:r>
      <w:r w:rsidRPr="00171F09">
        <w:t>gather an evidence base of social sentiment as attached to specific examples of building/place typologies that are known to be valued by the community.  The evidence would enable an understanding of places to which community groups are attached.  Based on the outcomes of Stage 1, examples of building typologi</w:t>
      </w:r>
      <w:r>
        <w:t xml:space="preserve">es that warrant review include </w:t>
      </w:r>
      <w:r w:rsidRPr="00171F09">
        <w:t>public open spaces</w:t>
      </w:r>
      <w:r>
        <w:t xml:space="preserve"> (landscapes). </w:t>
      </w:r>
    </w:p>
    <w:p w14:paraId="31008F2E" w14:textId="77777777" w:rsidR="006037CA" w:rsidRDefault="006037CA" w:rsidP="006037CA">
      <w:pPr>
        <w:pStyle w:val="Heading3"/>
        <w:tabs>
          <w:tab w:val="clear" w:pos="2128"/>
        </w:tabs>
        <w:ind w:left="851"/>
      </w:pPr>
      <w:bookmarkStart w:id="95" w:name="_Toc522766174"/>
      <w:r w:rsidRPr="00171F09">
        <w:t>Social values: assessment and management</w:t>
      </w:r>
      <w:bookmarkEnd w:id="95"/>
      <w:r w:rsidRPr="00171F09">
        <w:t xml:space="preserve"> </w:t>
      </w:r>
    </w:p>
    <w:p w14:paraId="7D81B00C" w14:textId="77777777" w:rsidR="006037CA" w:rsidRPr="00C767D8" w:rsidRDefault="006037CA" w:rsidP="006037CA">
      <w:r>
        <w:t xml:space="preserve">There exist a number of opportunities to assess and manage social values using existing protocols and procedures.  </w:t>
      </w:r>
    </w:p>
    <w:p w14:paraId="734BC27A" w14:textId="77777777" w:rsidR="006037CA" w:rsidRPr="00174C8C" w:rsidRDefault="006037CA" w:rsidP="006037CA">
      <w:pPr>
        <w:pStyle w:val="list1"/>
        <w:rPr>
          <w:i/>
        </w:rPr>
      </w:pPr>
      <w:r w:rsidRPr="00174C8C">
        <w:rPr>
          <w:i/>
        </w:rPr>
        <w:t>Council should consider the wider use of Social Impact Assessments (SIA) for permit applications.</w:t>
      </w:r>
    </w:p>
    <w:p w14:paraId="3C70C7EB" w14:textId="77777777" w:rsidR="006037CA" w:rsidRPr="004776FD" w:rsidRDefault="006037CA" w:rsidP="006037CA">
      <w:pPr>
        <w:pStyle w:val="list1"/>
        <w:numPr>
          <w:ilvl w:val="0"/>
          <w:numId w:val="0"/>
        </w:numPr>
        <w:ind w:left="1004"/>
      </w:pPr>
      <w:r>
        <w:t xml:space="preserve">Such assessments would be required </w:t>
      </w:r>
      <w:r w:rsidRPr="00A36F82">
        <w:t>where change is proposed to places which have previously been assessed as</w:t>
      </w:r>
      <w:r w:rsidRPr="00C73D1F">
        <w:t xml:space="preserve"> places of social value, or where there is the potential for social </w:t>
      </w:r>
      <w:r w:rsidRPr="00C73D1F">
        <w:lastRenderedPageBreak/>
        <w:t xml:space="preserve">value, relating to a building’s history, cultural associations </w:t>
      </w:r>
      <w:r w:rsidRPr="004776FD">
        <w:t xml:space="preserve">and/or typology (for instance, is it a that the public can access and congregate within in?).  </w:t>
      </w:r>
    </w:p>
    <w:p w14:paraId="4DB2571D" w14:textId="77777777" w:rsidR="006037CA" w:rsidRPr="00174C8C" w:rsidRDefault="006037CA" w:rsidP="006037CA">
      <w:pPr>
        <w:pStyle w:val="list1"/>
        <w:rPr>
          <w:i/>
        </w:rPr>
      </w:pPr>
      <w:r w:rsidRPr="00174C8C">
        <w:rPr>
          <w:i/>
        </w:rPr>
        <w:t xml:space="preserve">Council should develop guidelines for the preparation of SIAs.  </w:t>
      </w:r>
    </w:p>
    <w:p w14:paraId="4DC4DE15" w14:textId="77777777" w:rsidR="006037CA" w:rsidRPr="004776FD" w:rsidRDefault="006037CA" w:rsidP="006037CA">
      <w:pPr>
        <w:pStyle w:val="list1"/>
        <w:numPr>
          <w:ilvl w:val="0"/>
          <w:numId w:val="0"/>
        </w:numPr>
        <w:ind w:left="1004"/>
      </w:pPr>
      <w:r>
        <w:t xml:space="preserve">The guidelines should include a </w:t>
      </w:r>
      <w:r w:rsidRPr="004776FD">
        <w:t>requirement for applicants to consult with the community as part of the process – a desktop analysis based on assumptions of community attachment is not sufficient.</w:t>
      </w:r>
      <w:r w:rsidRPr="00B24229">
        <w:t xml:space="preserve"> </w:t>
      </w:r>
      <w:r>
        <w:t xml:space="preserve"> The process of engagement between developers and the community should also require </w:t>
      </w:r>
      <w:r w:rsidRPr="00C73D1F">
        <w:t>developer</w:t>
      </w:r>
      <w:r>
        <w:t xml:space="preserve">s </w:t>
      </w:r>
      <w:r w:rsidRPr="00C73D1F">
        <w:t>to recommend mitigating actions</w:t>
      </w:r>
      <w:r>
        <w:t xml:space="preserve">, including interpretation and recording.  </w:t>
      </w:r>
    </w:p>
    <w:p w14:paraId="1488B0B6" w14:textId="77777777" w:rsidR="006037CA" w:rsidRPr="00174C8C" w:rsidRDefault="006037CA" w:rsidP="006037CA">
      <w:pPr>
        <w:pStyle w:val="list1"/>
        <w:rPr>
          <w:i/>
        </w:rPr>
      </w:pPr>
      <w:r w:rsidRPr="00174C8C">
        <w:rPr>
          <w:i/>
        </w:rPr>
        <w:t xml:space="preserve">The ‘Application Requirements’ at Clause 22.04 for places that have been assessed as being of social value should be amended to stipulate the requirement for a SIA.  </w:t>
      </w:r>
    </w:p>
    <w:p w14:paraId="5AEFEADE" w14:textId="77777777" w:rsidR="006037CA" w:rsidRPr="00174C8C" w:rsidRDefault="006037CA" w:rsidP="006037CA">
      <w:pPr>
        <w:pStyle w:val="list1"/>
        <w:rPr>
          <w:i/>
        </w:rPr>
      </w:pPr>
      <w:r w:rsidRPr="00174C8C">
        <w:rPr>
          <w:i/>
        </w:rPr>
        <w:t xml:space="preserve">Council should stipulate that concepts for recognising social values are required at the point of lodging for a permit.  </w:t>
      </w:r>
    </w:p>
    <w:p w14:paraId="41121BB1" w14:textId="77777777" w:rsidR="006037CA" w:rsidRDefault="006037CA" w:rsidP="006037CA">
      <w:pPr>
        <w:pStyle w:val="list1"/>
        <w:numPr>
          <w:ilvl w:val="0"/>
          <w:numId w:val="0"/>
        </w:numPr>
        <w:ind w:left="1004"/>
      </w:pPr>
      <w:r>
        <w:t>The concepts should be set out in a Heritage Interpretation Plan (HIP).  The objective is to make interpretation a more central part of the design and development process.  This would provide opportunities for interpretation to be integrated into the built and/or landscape response, approaches which can be particularly powerful and enduring.</w:t>
      </w:r>
      <w:r w:rsidRPr="00B24229">
        <w:t xml:space="preserve"> </w:t>
      </w:r>
    </w:p>
    <w:p w14:paraId="6EBD355B" w14:textId="77777777" w:rsidR="006037CA" w:rsidRPr="00527C1C" w:rsidRDefault="006037CA" w:rsidP="006037CA">
      <w:pPr>
        <w:pStyle w:val="list1"/>
        <w:rPr>
          <w:i/>
        </w:rPr>
      </w:pPr>
      <w:r w:rsidRPr="00174C8C">
        <w:rPr>
          <w:i/>
        </w:rPr>
        <w:t>For places of social value, HIPs should be co-created by professionals and community groups:</w:t>
      </w:r>
      <w:r w:rsidRPr="00527C1C">
        <w:rPr>
          <w:i/>
        </w:rPr>
        <w:t xml:space="preserve"> </w:t>
      </w:r>
    </w:p>
    <w:p w14:paraId="6BB4DF03" w14:textId="77777777" w:rsidR="006037CA" w:rsidRDefault="006037CA" w:rsidP="006037CA">
      <w:pPr>
        <w:pStyle w:val="list1"/>
        <w:numPr>
          <w:ilvl w:val="0"/>
          <w:numId w:val="0"/>
        </w:numPr>
        <w:ind w:left="1004"/>
      </w:pPr>
      <w:r>
        <w:t xml:space="preserve">The identification of themes, stories and graphic content for an </w:t>
      </w:r>
      <w:r w:rsidRPr="00200872">
        <w:t xml:space="preserve">interpretation plan should be a collaborative exercise between professionals and community groups.  </w:t>
      </w:r>
      <w:r>
        <w:t>T</w:t>
      </w:r>
      <w:r w:rsidRPr="00200872">
        <w:t>he identification of locations for the delivery of in-situ interpretation, and the selection of interpretive</w:t>
      </w:r>
      <w:r>
        <w:t xml:space="preserve"> mediums should likewise be exercises in co-creation.  </w:t>
      </w:r>
    </w:p>
    <w:p w14:paraId="14DC7924" w14:textId="77777777" w:rsidR="006037CA" w:rsidRPr="00174C8C" w:rsidRDefault="006037CA" w:rsidP="006037CA">
      <w:pPr>
        <w:pStyle w:val="list1"/>
        <w:rPr>
          <w:i/>
        </w:rPr>
      </w:pPr>
      <w:r w:rsidRPr="00174C8C">
        <w:rPr>
          <w:i/>
        </w:rPr>
        <w:t>CoPP should adopt a values-based approach to recording</w:t>
      </w:r>
    </w:p>
    <w:p w14:paraId="69202814" w14:textId="77777777" w:rsidR="006037CA" w:rsidRPr="00B24229" w:rsidRDefault="006037CA" w:rsidP="006037CA">
      <w:pPr>
        <w:pStyle w:val="list1"/>
        <w:numPr>
          <w:ilvl w:val="0"/>
          <w:numId w:val="0"/>
        </w:numPr>
        <w:ind w:left="1004"/>
      </w:pPr>
      <w:r>
        <w:t xml:space="preserve">Recording packages should place emphasis on media and outcomes that capture the key attributes and characteristics of heritage places.  In the context of places of social value, the approach and the anticipated outcomes, should be agreed in consultation with community representatives.  </w:t>
      </w:r>
    </w:p>
    <w:p w14:paraId="11AE647B" w14:textId="77777777" w:rsidR="006037CA" w:rsidRDefault="006037CA" w:rsidP="006037CA">
      <w:pPr>
        <w:pStyle w:val="Heading3"/>
        <w:tabs>
          <w:tab w:val="clear" w:pos="2128"/>
        </w:tabs>
        <w:ind w:left="851"/>
      </w:pPr>
      <w:bookmarkStart w:id="96" w:name="_Toc522766175"/>
      <w:r>
        <w:t>Capacity building and community influence</w:t>
      </w:r>
      <w:bookmarkEnd w:id="96"/>
      <w:r>
        <w:t xml:space="preserve"> </w:t>
      </w:r>
    </w:p>
    <w:p w14:paraId="6A5174A9" w14:textId="77777777" w:rsidR="006037CA" w:rsidRPr="00D57567" w:rsidRDefault="006037CA" w:rsidP="006037CA">
      <w:r w:rsidRPr="00DC2074">
        <w:t xml:space="preserve">The following recommendations respond to the </w:t>
      </w:r>
      <w:r>
        <w:t xml:space="preserve">community’s </w:t>
      </w:r>
      <w:r w:rsidRPr="00DC2074">
        <w:t>aspiration to participate</w:t>
      </w:r>
      <w:r>
        <w:t xml:space="preserve"> more fully in heritage activities and to exert greater </w:t>
      </w:r>
      <w:r w:rsidRPr="00DC2074">
        <w:t xml:space="preserve">influence </w:t>
      </w:r>
      <w:r>
        <w:t>over heritage outcomes.</w:t>
      </w:r>
    </w:p>
    <w:p w14:paraId="51F55727" w14:textId="77777777" w:rsidR="006037CA" w:rsidRPr="00D74CB0" w:rsidRDefault="006037CA" w:rsidP="006037CA">
      <w:pPr>
        <w:pStyle w:val="list1"/>
        <w:rPr>
          <w:i/>
        </w:rPr>
      </w:pPr>
      <w:r w:rsidRPr="00D74CB0">
        <w:rPr>
          <w:i/>
        </w:rPr>
        <w:t>Enhance the community’s capacity to participate in and influence heritage outcomes.</w:t>
      </w:r>
    </w:p>
    <w:p w14:paraId="4C1D5240" w14:textId="424E6DB9" w:rsidR="006037CA" w:rsidRDefault="006037CA" w:rsidP="006037CA">
      <w:pPr>
        <w:pStyle w:val="list1"/>
        <w:numPr>
          <w:ilvl w:val="0"/>
          <w:numId w:val="0"/>
        </w:numPr>
        <w:ind w:left="1004"/>
      </w:pPr>
      <w:r>
        <w:t>To enhance the community’s capacity to participate in and influence heritage outcomes, C</w:t>
      </w:r>
      <w:r w:rsidRPr="00CE1DB7">
        <w:t xml:space="preserve">ouncil should promote an understanding of the purpose and limitations of the </w:t>
      </w:r>
      <w:r>
        <w:t>p</w:t>
      </w:r>
      <w:r w:rsidRPr="00CE1DB7">
        <w:t xml:space="preserve">lanning </w:t>
      </w:r>
      <w:r>
        <w:t>s</w:t>
      </w:r>
      <w:r w:rsidRPr="00CE1DB7">
        <w:t>ystem as related to heritage considerations</w:t>
      </w:r>
      <w:r>
        <w:t xml:space="preserve"> (see Section </w:t>
      </w:r>
      <w:r>
        <w:fldChar w:fldCharType="begin"/>
      </w:r>
      <w:r>
        <w:instrText xml:space="preserve"> REF _Ref522617733 \r \h </w:instrText>
      </w:r>
      <w:r>
        <w:fldChar w:fldCharType="separate"/>
      </w:r>
      <w:r w:rsidR="003E105F">
        <w:t>4.2</w:t>
      </w:r>
      <w:r>
        <w:fldChar w:fldCharType="end"/>
      </w:r>
      <w:r>
        <w:t xml:space="preserve"> ‘Limitations of the Planning Scheme). </w:t>
      </w:r>
      <w:r w:rsidRPr="00CE1DB7">
        <w:t xml:space="preserve"> </w:t>
      </w:r>
    </w:p>
    <w:p w14:paraId="1BE94E59" w14:textId="77777777" w:rsidR="006037CA" w:rsidRDefault="006037CA" w:rsidP="006037CA">
      <w:pPr>
        <w:pStyle w:val="list1"/>
        <w:numPr>
          <w:ilvl w:val="0"/>
          <w:numId w:val="0"/>
        </w:numPr>
        <w:ind w:left="1004"/>
      </w:pPr>
      <w:r>
        <w:t xml:space="preserve">Options to communicate what is achievable under the planning system include: reviewing and expanding the heritage content on CoPP’s website, perhaps through ‘Frequently Asked Questions’ and/or case studies to illustrate key issues.  Council’s website and other public interface tools should also provide forums for the community to tell Council what is important to them, for instance a mapping tool on the website. </w:t>
      </w:r>
    </w:p>
    <w:p w14:paraId="606F71CA" w14:textId="77777777" w:rsidR="006037CA" w:rsidRPr="00C73D1F" w:rsidRDefault="006037CA" w:rsidP="006037CA">
      <w:pPr>
        <w:pStyle w:val="list1"/>
        <w:numPr>
          <w:ilvl w:val="0"/>
          <w:numId w:val="0"/>
        </w:numPr>
        <w:ind w:left="1004"/>
      </w:pPr>
      <w:r>
        <w:t xml:space="preserve">Related to recommendation 13, Council should promote an understanding that there are approaches to acknowledging social values that do not rely on formal recognition under the Planning System, including interpretation and recording (discussed above). </w:t>
      </w:r>
    </w:p>
    <w:p w14:paraId="2E6D3AD6" w14:textId="77777777" w:rsidR="006037CA" w:rsidRDefault="006037CA" w:rsidP="006037CA">
      <w:pPr>
        <w:pStyle w:val="Heading3"/>
        <w:tabs>
          <w:tab w:val="clear" w:pos="2128"/>
        </w:tabs>
        <w:ind w:left="851"/>
      </w:pPr>
      <w:bookmarkStart w:id="97" w:name="_Toc522766176"/>
      <w:r>
        <w:lastRenderedPageBreak/>
        <w:t>Participatory planning</w:t>
      </w:r>
      <w:bookmarkEnd w:id="97"/>
    </w:p>
    <w:p w14:paraId="2F76DF29" w14:textId="77777777" w:rsidR="006037CA" w:rsidRDefault="006037CA" w:rsidP="006037CA">
      <w:r>
        <w:t xml:space="preserve">The recommendations below respond to the community’s interest in participating in planning processes and recognise that matters of concern to community groups will extend beyond the boundaries of heritage practice (see also recommendations for ‘Historic Landscape Plans’ below).  </w:t>
      </w:r>
    </w:p>
    <w:p w14:paraId="7E5C034E" w14:textId="77777777" w:rsidR="006037CA" w:rsidRPr="00F617BA" w:rsidRDefault="006037CA" w:rsidP="006037CA">
      <w:r w:rsidRPr="00271F12">
        <w:t>It is noted that participatory approaches to planning would require a recalibration of roles, with Council and community groups as partners in a process.  This aligns with Council’s aspiration to be recognised as a ‘leading local government organisation that is agile, future-ready and trusted’.</w:t>
      </w:r>
      <w:r w:rsidRPr="00271F12">
        <w:rPr>
          <w:rStyle w:val="FootnoteReference"/>
        </w:rPr>
        <w:footnoteReference w:id="50"/>
      </w:r>
    </w:p>
    <w:p w14:paraId="2AF7B841" w14:textId="77777777" w:rsidR="006037CA" w:rsidRPr="00174C8C" w:rsidRDefault="006037CA" w:rsidP="006037CA">
      <w:pPr>
        <w:pStyle w:val="list1"/>
        <w:rPr>
          <w:i/>
        </w:rPr>
      </w:pPr>
      <w:r w:rsidRPr="00174C8C">
        <w:rPr>
          <w:i/>
        </w:rPr>
        <w:t xml:space="preserve">Council should develop participatory planning processes with the community to better recognise the reasons for which they value historic areas.  </w:t>
      </w:r>
    </w:p>
    <w:p w14:paraId="7C646542" w14:textId="77777777" w:rsidR="006037CA" w:rsidRDefault="006037CA" w:rsidP="006037CA">
      <w:pPr>
        <w:pStyle w:val="list1"/>
        <w:numPr>
          <w:ilvl w:val="0"/>
          <w:numId w:val="0"/>
        </w:numPr>
        <w:ind w:left="1004"/>
      </w:pPr>
      <w:r>
        <w:t xml:space="preserve">These may include social, amenity and economic considerations, as well as heritage.  </w:t>
      </w:r>
    </w:p>
    <w:p w14:paraId="328D9867" w14:textId="77777777" w:rsidR="006037CA" w:rsidRPr="00725F0D" w:rsidRDefault="006037CA" w:rsidP="006037CA">
      <w:pPr>
        <w:pStyle w:val="list1"/>
        <w:numPr>
          <w:ilvl w:val="0"/>
          <w:numId w:val="0"/>
        </w:numPr>
        <w:ind w:left="1004"/>
      </w:pPr>
      <w:r w:rsidRPr="00725F0D">
        <w:t xml:space="preserve">Participatory planning workshops (or similar, see below) should also be arranged with communities with common interests, ethnicity, beliefs and values that may not be geographically-based – i.e. the Jewish community, Traditional Owner groups and the LGBTQI community. </w:t>
      </w:r>
    </w:p>
    <w:p w14:paraId="7D1C71F8" w14:textId="77777777" w:rsidR="006037CA" w:rsidRDefault="006037CA" w:rsidP="006037CA">
      <w:pPr>
        <w:pStyle w:val="list1"/>
        <w:numPr>
          <w:ilvl w:val="0"/>
          <w:numId w:val="0"/>
        </w:numPr>
        <w:ind w:left="1004"/>
      </w:pPr>
      <w:r>
        <w:t>P</w:t>
      </w:r>
      <w:r w:rsidRPr="00AF739E">
        <w:t>articipatory planning</w:t>
      </w:r>
      <w:r>
        <w:t xml:space="preserve"> workshops should be conducted independent of proposals for change.  The objective is to generate a broad evidence base of values independent of perceived ‘threat’.  </w:t>
      </w:r>
    </w:p>
    <w:p w14:paraId="474D2D08" w14:textId="77777777" w:rsidR="006037CA" w:rsidRDefault="006037CA" w:rsidP="006037CA">
      <w:pPr>
        <w:pStyle w:val="list1"/>
        <w:numPr>
          <w:ilvl w:val="0"/>
          <w:numId w:val="0"/>
        </w:numPr>
        <w:ind w:left="1004"/>
      </w:pPr>
      <w:r>
        <w:t>Engagement processes with the potential to provide ‘real time’ social value data should be explored by Council, recognising the dynamic nature of the value.  Likewise, non-traditional methods of data collection should be explored, as a means of challenging assumptions.  One method is Citizen-Generated Data, being data that is generated by people and/or organisations to enable them to monitor the issues that affect them, and potentially to inform change.</w:t>
      </w:r>
      <w:r>
        <w:rPr>
          <w:rStyle w:val="FootnoteReference"/>
        </w:rPr>
        <w:footnoteReference w:id="51"/>
      </w:r>
    </w:p>
    <w:p w14:paraId="76C56225" w14:textId="77777777" w:rsidR="006037CA" w:rsidRPr="00260E9B" w:rsidRDefault="006037CA" w:rsidP="006037CA">
      <w:pPr>
        <w:pStyle w:val="list1"/>
        <w:numPr>
          <w:ilvl w:val="0"/>
          <w:numId w:val="0"/>
        </w:numPr>
        <w:ind w:left="1004"/>
      </w:pPr>
      <w:r w:rsidRPr="00260E9B">
        <w:t xml:space="preserve">Objectives of participatory planning </w:t>
      </w:r>
      <w:r>
        <w:t xml:space="preserve">activities </w:t>
      </w:r>
      <w:r w:rsidRPr="00260E9B">
        <w:t>should include:</w:t>
      </w:r>
    </w:p>
    <w:p w14:paraId="0D532845" w14:textId="77777777" w:rsidR="006037CA" w:rsidRPr="00435B7A" w:rsidRDefault="006037CA" w:rsidP="006037CA">
      <w:pPr>
        <w:pStyle w:val="list1"/>
        <w:numPr>
          <w:ilvl w:val="1"/>
          <w:numId w:val="4"/>
        </w:numPr>
      </w:pPr>
      <w:r>
        <w:t>T</w:t>
      </w:r>
      <w:r w:rsidRPr="00435B7A">
        <w:t>he identification</w:t>
      </w:r>
      <w:r>
        <w:t xml:space="preserve"> of</w:t>
      </w:r>
      <w:r w:rsidRPr="00435B7A">
        <w:t xml:space="preserve"> attributes of neighbourhoods/areas valued by community groups, acknowledging that these may not be heritage issues.  Consideration should be given to the inclusion of ‘key neighbourhood attributes’ (or similar) in Clause 21.06 ‘Neighbourhoods’;</w:t>
      </w:r>
    </w:p>
    <w:p w14:paraId="4A3C983D" w14:textId="77777777" w:rsidR="006037CA" w:rsidRPr="00260E9B" w:rsidRDefault="006037CA" w:rsidP="006037CA">
      <w:pPr>
        <w:pStyle w:val="list1"/>
        <w:numPr>
          <w:ilvl w:val="1"/>
          <w:numId w:val="4"/>
        </w:numPr>
      </w:pPr>
      <w:r>
        <w:t>The i</w:t>
      </w:r>
      <w:r w:rsidRPr="00435B7A">
        <w:t>dentif</w:t>
      </w:r>
      <w:r>
        <w:t>ication of</w:t>
      </w:r>
      <w:r w:rsidRPr="00435B7A">
        <w:t xml:space="preserve"> valued landmarks</w:t>
      </w:r>
      <w:r>
        <w:t xml:space="preserve">, </w:t>
      </w:r>
      <w:r w:rsidRPr="00435B7A">
        <w:t>landscapes</w:t>
      </w:r>
      <w:r>
        <w:t xml:space="preserve"> </w:t>
      </w:r>
      <w:r w:rsidRPr="00435B7A">
        <w:t>and views</w:t>
      </w:r>
      <w:r>
        <w:t>/</w:t>
      </w:r>
      <w:r w:rsidRPr="00435B7A">
        <w:t>vistas through a municipal urban design framework</w:t>
      </w:r>
      <w:r>
        <w:t xml:space="preserve">; and </w:t>
      </w:r>
    </w:p>
    <w:p w14:paraId="11A92658" w14:textId="77777777" w:rsidR="006037CA" w:rsidRDefault="006037CA" w:rsidP="006037CA">
      <w:pPr>
        <w:pStyle w:val="list1"/>
        <w:numPr>
          <w:ilvl w:val="1"/>
          <w:numId w:val="4"/>
        </w:numPr>
      </w:pPr>
      <w:r>
        <w:t>Consideration of a</w:t>
      </w:r>
      <w:r w:rsidRPr="00260E9B">
        <w:t>pproaches to recognising social sentiment for places that are ill-suited to or do not warrant management under the Planning Scheme.  These may include: walking tours, heritage signage and Open House-style events</w:t>
      </w:r>
      <w:r>
        <w:t xml:space="preserve">. </w:t>
      </w:r>
    </w:p>
    <w:p w14:paraId="2130AAB4" w14:textId="77777777" w:rsidR="006037CA" w:rsidRDefault="006037CA" w:rsidP="006037CA">
      <w:pPr>
        <w:pStyle w:val="Heading3"/>
        <w:tabs>
          <w:tab w:val="clear" w:pos="2128"/>
        </w:tabs>
        <w:ind w:left="851"/>
      </w:pPr>
      <w:bookmarkStart w:id="98" w:name="_Toc522766177"/>
      <w:r>
        <w:t>Programs and incentives</w:t>
      </w:r>
      <w:bookmarkEnd w:id="98"/>
    </w:p>
    <w:p w14:paraId="63117FB9" w14:textId="77777777" w:rsidR="006037CA" w:rsidRPr="00174C8C" w:rsidRDefault="006037CA" w:rsidP="006037CA">
      <w:pPr>
        <w:pStyle w:val="list1"/>
        <w:rPr>
          <w:i/>
        </w:rPr>
      </w:pPr>
      <w:r w:rsidRPr="00174C8C">
        <w:rPr>
          <w:i/>
        </w:rPr>
        <w:t xml:space="preserve">Council should review existing programs that support recognition of community-held values for places within the CoPP – including the CoPP Recognition Program and the Percent for Art Scheme – and seek to align their objectives with outcomes of the Stage 1 consultation.  </w:t>
      </w:r>
    </w:p>
    <w:p w14:paraId="1E8AAB2E" w14:textId="2D8C1072" w:rsidR="006037CA" w:rsidRPr="00D74CB0" w:rsidRDefault="006037CA" w:rsidP="00742A3E">
      <w:pPr>
        <w:pStyle w:val="list1"/>
        <w:rPr>
          <w:i/>
        </w:rPr>
      </w:pPr>
      <w:r w:rsidRPr="00174C8C">
        <w:rPr>
          <w:i/>
        </w:rPr>
        <w:t xml:space="preserve">Council should identify other opportunities to respond to the community’s expectation of financial support and incentives for heritage programs, including additional funding for the maintenance of heritage buildings and settings. </w:t>
      </w:r>
    </w:p>
    <w:p w14:paraId="33569FEE" w14:textId="4112CAE2" w:rsidR="00AF739E" w:rsidRDefault="00AF739E" w:rsidP="00AF739E">
      <w:pPr>
        <w:pStyle w:val="Heading2"/>
      </w:pPr>
      <w:bookmarkStart w:id="99" w:name="_Ref522629271"/>
      <w:bookmarkStart w:id="100" w:name="_Toc522766178"/>
      <w:r>
        <w:lastRenderedPageBreak/>
        <w:t xml:space="preserve">Historic </w:t>
      </w:r>
      <w:r w:rsidR="00BE13C1">
        <w:t xml:space="preserve">Urban </w:t>
      </w:r>
      <w:r>
        <w:t>Landscape Plan</w:t>
      </w:r>
      <w:bookmarkEnd w:id="99"/>
      <w:bookmarkEnd w:id="100"/>
    </w:p>
    <w:p w14:paraId="446B70AC" w14:textId="076B0548" w:rsidR="00931001" w:rsidRDefault="00931001" w:rsidP="00931001">
      <w:r>
        <w:t>A significant outcome of consultation undertaken for Stage 1 was a recognition that the CoPP community has a landscape-scale view of ‘heritage’, which comprises the totality of the urban environment not just buildings or areas within i</w:t>
      </w:r>
      <w:r w:rsidR="00825A6D">
        <w:t xml:space="preserve">t.  The following recommendations would enable Council to address outcomes of Stage 1 </w:t>
      </w:r>
      <w:r w:rsidR="00825A6D" w:rsidRPr="00433CE9">
        <w:t xml:space="preserve">which go beyond </w:t>
      </w:r>
      <w:r w:rsidR="00825A6D">
        <w:t>pure</w:t>
      </w:r>
      <w:r w:rsidR="00825A6D" w:rsidRPr="00433CE9">
        <w:t xml:space="preserve"> heritage considerations, and address issues that relate to urban design and neighbourhood character including</w:t>
      </w:r>
      <w:r w:rsidR="00825A6D">
        <w:t>.</w:t>
      </w:r>
      <w:r w:rsidR="00825A6D" w:rsidRPr="00FC0D16">
        <w:t xml:space="preserve"> </w:t>
      </w:r>
      <w:r w:rsidR="00521703">
        <w:t xml:space="preserve"> </w:t>
      </w:r>
      <w:r>
        <w:t xml:space="preserve">It is recognised that the recommendations below are unlikely to be realisable within the timeframe of the Heritage Program (2018-21). </w:t>
      </w:r>
    </w:p>
    <w:p w14:paraId="788C0FA0" w14:textId="24DFE7A7" w:rsidR="00521703" w:rsidRDefault="00931001" w:rsidP="00521703">
      <w:pPr>
        <w:pStyle w:val="list1"/>
      </w:pPr>
      <w:r>
        <w:t>Consideration should be given to the re-conceptualisation of</w:t>
      </w:r>
      <w:r w:rsidRPr="00795E14">
        <w:t xml:space="preserve"> </w:t>
      </w:r>
      <w:r>
        <w:t>the urban environment as a living entity that is subject to and shaped by a range of social, economic, environmental and cultural influences.  This approach, informed by UNESCO’s Historic Urban Landscape model (see Section</w:t>
      </w:r>
      <w:r w:rsidR="00521703">
        <w:t xml:space="preserve"> </w:t>
      </w:r>
      <w:r w:rsidR="00521703">
        <w:fldChar w:fldCharType="begin"/>
      </w:r>
      <w:r w:rsidR="00521703">
        <w:instrText xml:space="preserve"> REF _Ref522620930 \r \h </w:instrText>
      </w:r>
      <w:r w:rsidR="00521703">
        <w:fldChar w:fldCharType="separate"/>
      </w:r>
      <w:r w:rsidR="003E105F">
        <w:t>3.2</w:t>
      </w:r>
      <w:r w:rsidR="00521703">
        <w:fldChar w:fldCharType="end"/>
      </w:r>
      <w:r>
        <w:t xml:space="preserve">), would see the integration of heritage conservation with social and economic development considerations.  The objective is to recognise the municipality’s heritage as a social, cultural and economic asset.  It is noted that Victoria’s </w:t>
      </w:r>
      <w:r w:rsidRPr="00BE3DAD">
        <w:t xml:space="preserve">planning system aims for </w:t>
      </w:r>
      <w:r>
        <w:t xml:space="preserve">a </w:t>
      </w:r>
      <w:r w:rsidRPr="00BE3DAD">
        <w:t>balance of heritage, economic development, functionality and liveability consideration</w:t>
      </w:r>
      <w:r w:rsidR="00521703">
        <w:t xml:space="preserve">s (see Section </w:t>
      </w:r>
      <w:r w:rsidR="00521703">
        <w:fldChar w:fldCharType="begin"/>
      </w:r>
      <w:r w:rsidR="00521703">
        <w:instrText xml:space="preserve"> REF _Ref522620960 \r \h </w:instrText>
      </w:r>
      <w:r w:rsidR="00521703">
        <w:fldChar w:fldCharType="separate"/>
      </w:r>
      <w:r w:rsidR="003E105F">
        <w:t>4.2</w:t>
      </w:r>
      <w:r w:rsidR="00521703">
        <w:fldChar w:fldCharType="end"/>
      </w:r>
      <w:r w:rsidR="00521703">
        <w:t xml:space="preserve">). </w:t>
      </w:r>
    </w:p>
    <w:p w14:paraId="4ECC87BC" w14:textId="443DE7F4" w:rsidR="00931001" w:rsidRPr="00411AAD" w:rsidRDefault="00931001" w:rsidP="00931001">
      <w:pPr>
        <w:pStyle w:val="list1"/>
      </w:pPr>
      <w:r w:rsidRPr="00411AAD">
        <w:t>An initial stage in this process would be the preparation of a whole-of-municipality plan that contextualises heritage within Port Phillip’s medium-term aspirations for social and economic growth.</w:t>
      </w:r>
      <w:r w:rsidRPr="00411AAD">
        <w:rPr>
          <w:rStyle w:val="FootnoteReference"/>
        </w:rPr>
        <w:footnoteReference w:id="52"/>
      </w:r>
      <w:r w:rsidRPr="00411AAD">
        <w:t xml:space="preserve">  The plan would identify priorities that apply to the municipality at large</w:t>
      </w:r>
      <w:r w:rsidR="0024412F" w:rsidRPr="00411AAD">
        <w:t xml:space="preserve"> – </w:t>
      </w:r>
      <w:r w:rsidR="00521703" w:rsidRPr="00411AAD">
        <w:t xml:space="preserve">for instance, area-based urban regeneration activities, </w:t>
      </w:r>
      <w:r w:rsidR="003739EE">
        <w:t xml:space="preserve">strategies for </w:t>
      </w:r>
      <w:r w:rsidR="00521703" w:rsidRPr="00411AAD">
        <w:t xml:space="preserve">maintaining the health and </w:t>
      </w:r>
      <w:r w:rsidR="003739EE">
        <w:t>vitality</w:t>
      </w:r>
      <w:r w:rsidR="00521703" w:rsidRPr="00411AAD">
        <w:t xml:space="preserve"> of historic tree-lined streets/boulevards and identifying areas for </w:t>
      </w:r>
      <w:r w:rsidR="00411AAD" w:rsidRPr="00411AAD">
        <w:t xml:space="preserve">new housing.  </w:t>
      </w:r>
      <w:r w:rsidRPr="00411AAD">
        <w:t xml:space="preserve">It would also identify strategies for the neighbourhoods/areas within the municipality.  The document would represent an action plan for Council, and would inform amendments to the PPHR, planning scheme policy and controls. </w:t>
      </w:r>
    </w:p>
    <w:p w14:paraId="0EDA73E5" w14:textId="77777777" w:rsidR="00EC7BD3" w:rsidRDefault="00EC7BD3" w:rsidP="00825A6D">
      <w:pPr>
        <w:pStyle w:val="list1"/>
        <w:numPr>
          <w:ilvl w:val="0"/>
          <w:numId w:val="0"/>
        </w:numPr>
      </w:pPr>
    </w:p>
    <w:p w14:paraId="6D9CCE83" w14:textId="64019CF9" w:rsidR="00EC7BD3" w:rsidRDefault="00EC7BD3" w:rsidP="00EC7BD3">
      <w:pPr>
        <w:pStyle w:val="Caption"/>
      </w:pPr>
      <w:bookmarkStart w:id="101" w:name="_Ref520721043"/>
      <w:r>
        <w:t xml:space="preserve">Table </w:t>
      </w:r>
      <w:r>
        <w:rPr>
          <w:noProof/>
        </w:rPr>
        <w:fldChar w:fldCharType="begin"/>
      </w:r>
      <w:r>
        <w:rPr>
          <w:noProof/>
        </w:rPr>
        <w:instrText xml:space="preserve"> SEQ Table \* ARABIC </w:instrText>
      </w:r>
      <w:r>
        <w:rPr>
          <w:noProof/>
        </w:rPr>
        <w:fldChar w:fldCharType="separate"/>
      </w:r>
      <w:r w:rsidR="003E105F">
        <w:rPr>
          <w:noProof/>
        </w:rPr>
        <w:t>10</w:t>
      </w:r>
      <w:r>
        <w:rPr>
          <w:noProof/>
        </w:rPr>
        <w:fldChar w:fldCharType="end"/>
      </w:r>
      <w:bookmarkEnd w:id="101"/>
      <w:r>
        <w:tab/>
        <w:t>‘Significant’ places in the PPHR identified during Stage 1</w:t>
      </w:r>
    </w:p>
    <w:tbl>
      <w:tblPr>
        <w:tblW w:w="8677" w:type="dxa"/>
        <w:tblInd w:w="-38" w:type="dxa"/>
        <w:tblLayout w:type="fixed"/>
        <w:tblLook w:val="04A0" w:firstRow="1" w:lastRow="0" w:firstColumn="1" w:lastColumn="0" w:noHBand="0" w:noVBand="1"/>
      </w:tblPr>
      <w:tblGrid>
        <w:gridCol w:w="5275"/>
        <w:gridCol w:w="1134"/>
        <w:gridCol w:w="2268"/>
      </w:tblGrid>
      <w:tr w:rsidR="00EC7BD3" w:rsidRPr="004E32D3" w14:paraId="02085A54" w14:textId="77777777" w:rsidTr="00211D49">
        <w:trPr>
          <w:trHeight w:val="175"/>
          <w:tblHeader/>
        </w:trPr>
        <w:tc>
          <w:tcPr>
            <w:tcW w:w="5275" w:type="dxa"/>
            <w:tcBorders>
              <w:top w:val="single" w:sz="6" w:space="0" w:color="auto"/>
              <w:left w:val="single" w:sz="6" w:space="0" w:color="auto"/>
              <w:bottom w:val="single" w:sz="6" w:space="0" w:color="auto"/>
              <w:right w:val="single" w:sz="6" w:space="0" w:color="auto"/>
            </w:tcBorders>
            <w:hideMark/>
          </w:tcPr>
          <w:p w14:paraId="33AB6BE1" w14:textId="77777777" w:rsidR="00EC7BD3" w:rsidRPr="004E32D3" w:rsidRDefault="00EC7BD3" w:rsidP="00EC7BD3">
            <w:pPr>
              <w:autoSpaceDE w:val="0"/>
              <w:autoSpaceDN w:val="0"/>
              <w:adjustRightInd w:val="0"/>
              <w:spacing w:after="0" w:line="240" w:lineRule="auto"/>
              <w:rPr>
                <w:rFonts w:ascii="Calibri" w:hAnsi="Calibri" w:cs="Calibri"/>
                <w:b/>
                <w:bCs/>
                <w:i/>
                <w:color w:val="000000"/>
              </w:rPr>
            </w:pPr>
            <w:r w:rsidRPr="004E32D3">
              <w:rPr>
                <w:rFonts w:ascii="Calibri" w:hAnsi="Calibri" w:cs="Calibri"/>
                <w:b/>
                <w:bCs/>
                <w:i/>
                <w:color w:val="000000"/>
              </w:rPr>
              <w:t>Place</w:t>
            </w:r>
          </w:p>
        </w:tc>
        <w:tc>
          <w:tcPr>
            <w:tcW w:w="1134" w:type="dxa"/>
            <w:tcBorders>
              <w:top w:val="single" w:sz="6" w:space="0" w:color="auto"/>
              <w:left w:val="single" w:sz="6" w:space="0" w:color="auto"/>
              <w:bottom w:val="single" w:sz="6" w:space="0" w:color="auto"/>
              <w:right w:val="single" w:sz="6" w:space="0" w:color="auto"/>
            </w:tcBorders>
            <w:hideMark/>
          </w:tcPr>
          <w:p w14:paraId="52566CFB" w14:textId="77777777" w:rsidR="00EC7BD3" w:rsidRPr="004E32D3" w:rsidRDefault="00EC7BD3" w:rsidP="00EC7BD3">
            <w:pPr>
              <w:autoSpaceDE w:val="0"/>
              <w:autoSpaceDN w:val="0"/>
              <w:adjustRightInd w:val="0"/>
              <w:spacing w:after="0" w:line="240" w:lineRule="auto"/>
              <w:rPr>
                <w:rFonts w:ascii="Calibri" w:hAnsi="Calibri" w:cs="Calibri"/>
                <w:b/>
                <w:bCs/>
                <w:i/>
                <w:color w:val="000000"/>
              </w:rPr>
            </w:pPr>
            <w:r w:rsidRPr="004E32D3">
              <w:rPr>
                <w:rFonts w:ascii="Calibri" w:hAnsi="Calibri" w:cs="Calibri"/>
                <w:b/>
                <w:bCs/>
                <w:i/>
                <w:color w:val="000000"/>
              </w:rPr>
              <w:t>VHR</w:t>
            </w:r>
          </w:p>
        </w:tc>
        <w:tc>
          <w:tcPr>
            <w:tcW w:w="2268" w:type="dxa"/>
            <w:tcBorders>
              <w:top w:val="single" w:sz="6" w:space="0" w:color="auto"/>
              <w:left w:val="single" w:sz="6" w:space="0" w:color="auto"/>
              <w:bottom w:val="single" w:sz="6" w:space="0" w:color="auto"/>
              <w:right w:val="single" w:sz="6" w:space="0" w:color="auto"/>
            </w:tcBorders>
            <w:hideMark/>
          </w:tcPr>
          <w:p w14:paraId="589FB5A5" w14:textId="77777777" w:rsidR="00EC7BD3" w:rsidRPr="004E32D3" w:rsidRDefault="00EC7BD3" w:rsidP="00EC7BD3">
            <w:pPr>
              <w:autoSpaceDE w:val="0"/>
              <w:autoSpaceDN w:val="0"/>
              <w:adjustRightInd w:val="0"/>
              <w:spacing w:after="0" w:line="240" w:lineRule="auto"/>
              <w:rPr>
                <w:rFonts w:ascii="Calibri" w:hAnsi="Calibri" w:cs="Calibri"/>
                <w:b/>
                <w:bCs/>
                <w:i/>
                <w:color w:val="000000"/>
              </w:rPr>
            </w:pPr>
            <w:r w:rsidRPr="004E32D3">
              <w:rPr>
                <w:rFonts w:ascii="Calibri" w:hAnsi="Calibri" w:cs="Calibri"/>
                <w:b/>
                <w:bCs/>
                <w:i/>
                <w:color w:val="000000"/>
              </w:rPr>
              <w:t>HO</w:t>
            </w:r>
          </w:p>
        </w:tc>
      </w:tr>
      <w:tr w:rsidR="00EC7BD3" w14:paraId="4E2EB795" w14:textId="77777777" w:rsidTr="00211D49">
        <w:trPr>
          <w:trHeight w:val="187"/>
        </w:trPr>
        <w:tc>
          <w:tcPr>
            <w:tcW w:w="5275" w:type="dxa"/>
            <w:tcBorders>
              <w:top w:val="single" w:sz="6" w:space="0" w:color="auto"/>
              <w:left w:val="single" w:sz="6" w:space="0" w:color="auto"/>
              <w:bottom w:val="single" w:sz="6" w:space="0" w:color="auto"/>
              <w:right w:val="single" w:sz="6" w:space="0" w:color="auto"/>
            </w:tcBorders>
            <w:hideMark/>
          </w:tcPr>
          <w:p w14:paraId="157E04C3"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Palais Theatre</w:t>
            </w:r>
          </w:p>
        </w:tc>
        <w:tc>
          <w:tcPr>
            <w:tcW w:w="1134" w:type="dxa"/>
            <w:tcBorders>
              <w:top w:val="single" w:sz="6" w:space="0" w:color="auto"/>
              <w:left w:val="single" w:sz="6" w:space="0" w:color="auto"/>
              <w:bottom w:val="single" w:sz="6" w:space="0" w:color="auto"/>
              <w:right w:val="single" w:sz="6" w:space="0" w:color="auto"/>
            </w:tcBorders>
            <w:hideMark/>
          </w:tcPr>
          <w:p w14:paraId="1E8961D2"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H0947</w:t>
            </w:r>
          </w:p>
        </w:tc>
        <w:tc>
          <w:tcPr>
            <w:tcW w:w="2268" w:type="dxa"/>
            <w:tcBorders>
              <w:top w:val="single" w:sz="6" w:space="0" w:color="auto"/>
              <w:left w:val="single" w:sz="6" w:space="0" w:color="auto"/>
              <w:bottom w:val="single" w:sz="6" w:space="0" w:color="auto"/>
              <w:right w:val="single" w:sz="6" w:space="0" w:color="auto"/>
            </w:tcBorders>
            <w:hideMark/>
          </w:tcPr>
          <w:p w14:paraId="177A6984"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HO184</w:t>
            </w:r>
          </w:p>
        </w:tc>
      </w:tr>
      <w:tr w:rsidR="00EC7BD3" w14:paraId="4BDB3F43" w14:textId="77777777" w:rsidTr="00211D49">
        <w:trPr>
          <w:trHeight w:val="209"/>
        </w:trPr>
        <w:tc>
          <w:tcPr>
            <w:tcW w:w="5275" w:type="dxa"/>
            <w:tcBorders>
              <w:top w:val="single" w:sz="6" w:space="0" w:color="auto"/>
              <w:left w:val="single" w:sz="6" w:space="0" w:color="auto"/>
              <w:bottom w:val="single" w:sz="6" w:space="0" w:color="auto"/>
              <w:right w:val="single" w:sz="6" w:space="0" w:color="auto"/>
            </w:tcBorders>
            <w:hideMark/>
          </w:tcPr>
          <w:p w14:paraId="7145A5AB"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Luna Park </w:t>
            </w:r>
          </w:p>
        </w:tc>
        <w:tc>
          <w:tcPr>
            <w:tcW w:w="1134" w:type="dxa"/>
            <w:tcBorders>
              <w:top w:val="single" w:sz="6" w:space="0" w:color="auto"/>
              <w:left w:val="single" w:sz="6" w:space="0" w:color="auto"/>
              <w:bottom w:val="single" w:sz="6" w:space="0" w:color="auto"/>
              <w:right w:val="single" w:sz="6" w:space="0" w:color="auto"/>
            </w:tcBorders>
            <w:hideMark/>
          </w:tcPr>
          <w:p w14:paraId="17F18975"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H0938</w:t>
            </w:r>
          </w:p>
        </w:tc>
        <w:tc>
          <w:tcPr>
            <w:tcW w:w="2268" w:type="dxa"/>
            <w:tcBorders>
              <w:top w:val="single" w:sz="6" w:space="0" w:color="auto"/>
              <w:left w:val="single" w:sz="6" w:space="0" w:color="auto"/>
              <w:bottom w:val="single" w:sz="6" w:space="0" w:color="auto"/>
              <w:right w:val="single" w:sz="6" w:space="0" w:color="auto"/>
            </w:tcBorders>
            <w:hideMark/>
          </w:tcPr>
          <w:p w14:paraId="28331C8E"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HO454 and HO76</w:t>
            </w:r>
          </w:p>
        </w:tc>
      </w:tr>
      <w:tr w:rsidR="00EC7BD3" w14:paraId="01E65EF3" w14:textId="77777777" w:rsidTr="00211D49">
        <w:trPr>
          <w:trHeight w:val="230"/>
        </w:trPr>
        <w:tc>
          <w:tcPr>
            <w:tcW w:w="5275" w:type="dxa"/>
            <w:tcBorders>
              <w:top w:val="single" w:sz="6" w:space="0" w:color="auto"/>
              <w:left w:val="single" w:sz="6" w:space="0" w:color="auto"/>
              <w:bottom w:val="single" w:sz="6" w:space="0" w:color="auto"/>
              <w:right w:val="single" w:sz="6" w:space="0" w:color="auto"/>
            </w:tcBorders>
            <w:hideMark/>
          </w:tcPr>
          <w:p w14:paraId="3516D8B7"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St Kilda Pier and Kiosk</w:t>
            </w:r>
          </w:p>
        </w:tc>
        <w:tc>
          <w:tcPr>
            <w:tcW w:w="1134" w:type="dxa"/>
            <w:tcBorders>
              <w:top w:val="single" w:sz="6" w:space="0" w:color="auto"/>
              <w:left w:val="single" w:sz="6" w:space="0" w:color="auto"/>
              <w:bottom w:val="single" w:sz="6" w:space="0" w:color="auto"/>
              <w:right w:val="single" w:sz="6" w:space="0" w:color="auto"/>
            </w:tcBorders>
            <w:hideMark/>
          </w:tcPr>
          <w:p w14:paraId="4884A31F"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H1533</w:t>
            </w:r>
          </w:p>
        </w:tc>
        <w:tc>
          <w:tcPr>
            <w:tcW w:w="2268" w:type="dxa"/>
            <w:tcBorders>
              <w:top w:val="single" w:sz="6" w:space="0" w:color="auto"/>
              <w:left w:val="single" w:sz="6" w:space="0" w:color="auto"/>
              <w:bottom w:val="single" w:sz="6" w:space="0" w:color="auto"/>
              <w:right w:val="single" w:sz="6" w:space="0" w:color="auto"/>
            </w:tcBorders>
            <w:hideMark/>
          </w:tcPr>
          <w:p w14:paraId="2372B069"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HO226</w:t>
            </w:r>
          </w:p>
        </w:tc>
      </w:tr>
      <w:tr w:rsidR="00EC7BD3" w14:paraId="510F1E6D" w14:textId="77777777" w:rsidTr="00211D49">
        <w:trPr>
          <w:trHeight w:val="209"/>
        </w:trPr>
        <w:tc>
          <w:tcPr>
            <w:tcW w:w="5275" w:type="dxa"/>
            <w:tcBorders>
              <w:top w:val="single" w:sz="6" w:space="0" w:color="auto"/>
              <w:left w:val="single" w:sz="6" w:space="0" w:color="auto"/>
              <w:bottom w:val="single" w:sz="6" w:space="0" w:color="auto"/>
              <w:right w:val="single" w:sz="6" w:space="0" w:color="auto"/>
            </w:tcBorders>
            <w:hideMark/>
          </w:tcPr>
          <w:p w14:paraId="7DD54998"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St Kilda Botanical Gardens (including the conservatory)</w:t>
            </w:r>
          </w:p>
        </w:tc>
        <w:tc>
          <w:tcPr>
            <w:tcW w:w="1134" w:type="dxa"/>
            <w:tcBorders>
              <w:top w:val="single" w:sz="6" w:space="0" w:color="auto"/>
              <w:left w:val="single" w:sz="6" w:space="0" w:color="auto"/>
              <w:bottom w:val="single" w:sz="6" w:space="0" w:color="auto"/>
              <w:right w:val="single" w:sz="6" w:space="0" w:color="auto"/>
            </w:tcBorders>
            <w:hideMark/>
          </w:tcPr>
          <w:p w14:paraId="7A754AB2"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H1804</w:t>
            </w:r>
          </w:p>
        </w:tc>
        <w:tc>
          <w:tcPr>
            <w:tcW w:w="2268" w:type="dxa"/>
            <w:tcBorders>
              <w:top w:val="single" w:sz="6" w:space="0" w:color="auto"/>
              <w:left w:val="single" w:sz="6" w:space="0" w:color="auto"/>
              <w:bottom w:val="single" w:sz="6" w:space="0" w:color="auto"/>
              <w:right w:val="single" w:sz="6" w:space="0" w:color="auto"/>
            </w:tcBorders>
            <w:hideMark/>
          </w:tcPr>
          <w:p w14:paraId="00BF96F6"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HO344</w:t>
            </w:r>
          </w:p>
        </w:tc>
      </w:tr>
      <w:tr w:rsidR="00EC7BD3" w14:paraId="2E5C9B24" w14:textId="77777777" w:rsidTr="00211D49">
        <w:trPr>
          <w:trHeight w:val="281"/>
        </w:trPr>
        <w:tc>
          <w:tcPr>
            <w:tcW w:w="5275" w:type="dxa"/>
            <w:tcBorders>
              <w:top w:val="single" w:sz="6" w:space="0" w:color="auto"/>
              <w:left w:val="single" w:sz="6" w:space="0" w:color="auto"/>
              <w:bottom w:val="single" w:sz="6" w:space="0" w:color="auto"/>
              <w:right w:val="single" w:sz="6" w:space="0" w:color="auto"/>
            </w:tcBorders>
            <w:hideMark/>
          </w:tcPr>
          <w:p w14:paraId="4C0F2B3E"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Albert Park and Lake (including the Melbourne Sports and Aquatic Centre)</w:t>
            </w:r>
          </w:p>
        </w:tc>
        <w:tc>
          <w:tcPr>
            <w:tcW w:w="1134" w:type="dxa"/>
          </w:tcPr>
          <w:p w14:paraId="7CFAC130" w14:textId="77777777" w:rsidR="00EC7BD3" w:rsidRDefault="00EC7BD3" w:rsidP="00EC7BD3">
            <w:pPr>
              <w:autoSpaceDE w:val="0"/>
              <w:autoSpaceDN w:val="0"/>
              <w:adjustRightInd w:val="0"/>
              <w:spacing w:after="0" w:line="240" w:lineRule="auto"/>
              <w:jc w:val="right"/>
              <w:rPr>
                <w:rFonts w:ascii="Calibri" w:hAnsi="Calibri" w:cs="Calibri"/>
                <w:color w:val="000000"/>
              </w:rPr>
            </w:pPr>
          </w:p>
        </w:tc>
        <w:tc>
          <w:tcPr>
            <w:tcW w:w="2268" w:type="dxa"/>
            <w:tcBorders>
              <w:top w:val="single" w:sz="6" w:space="0" w:color="auto"/>
              <w:left w:val="single" w:sz="6" w:space="0" w:color="auto"/>
              <w:bottom w:val="single" w:sz="6" w:space="0" w:color="auto"/>
              <w:right w:val="single" w:sz="6" w:space="0" w:color="auto"/>
            </w:tcBorders>
            <w:hideMark/>
          </w:tcPr>
          <w:p w14:paraId="3AD23C35"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HO446</w:t>
            </w:r>
          </w:p>
        </w:tc>
      </w:tr>
      <w:tr w:rsidR="00EC7BD3" w14:paraId="4FA3BF37" w14:textId="77777777" w:rsidTr="00211D49">
        <w:trPr>
          <w:trHeight w:val="199"/>
        </w:trPr>
        <w:tc>
          <w:tcPr>
            <w:tcW w:w="5275" w:type="dxa"/>
            <w:tcBorders>
              <w:top w:val="single" w:sz="6" w:space="0" w:color="auto"/>
              <w:left w:val="single" w:sz="6" w:space="0" w:color="auto"/>
              <w:bottom w:val="single" w:sz="6" w:space="0" w:color="auto"/>
              <w:right w:val="single" w:sz="6" w:space="0" w:color="auto"/>
            </w:tcBorders>
            <w:hideMark/>
          </w:tcPr>
          <w:p w14:paraId="31B87E68"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Princes Pier</w:t>
            </w:r>
          </w:p>
        </w:tc>
        <w:tc>
          <w:tcPr>
            <w:tcW w:w="1134" w:type="dxa"/>
            <w:tcBorders>
              <w:top w:val="single" w:sz="6" w:space="0" w:color="auto"/>
              <w:left w:val="single" w:sz="6" w:space="0" w:color="auto"/>
              <w:bottom w:val="single" w:sz="6" w:space="0" w:color="auto"/>
              <w:right w:val="single" w:sz="6" w:space="0" w:color="auto"/>
            </w:tcBorders>
            <w:hideMark/>
          </w:tcPr>
          <w:p w14:paraId="0DD63CD1"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H0981</w:t>
            </w:r>
          </w:p>
        </w:tc>
        <w:tc>
          <w:tcPr>
            <w:tcW w:w="2268" w:type="dxa"/>
            <w:tcBorders>
              <w:top w:val="single" w:sz="6" w:space="0" w:color="auto"/>
              <w:left w:val="single" w:sz="6" w:space="0" w:color="auto"/>
              <w:bottom w:val="single" w:sz="6" w:space="0" w:color="auto"/>
              <w:right w:val="single" w:sz="6" w:space="0" w:color="auto"/>
            </w:tcBorders>
            <w:hideMark/>
          </w:tcPr>
          <w:p w14:paraId="6EE7DA04"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HO43</w:t>
            </w:r>
          </w:p>
        </w:tc>
      </w:tr>
      <w:tr w:rsidR="00EC7BD3" w14:paraId="4BFED3CE" w14:textId="77777777" w:rsidTr="00211D49">
        <w:trPr>
          <w:trHeight w:val="209"/>
        </w:trPr>
        <w:tc>
          <w:tcPr>
            <w:tcW w:w="5275" w:type="dxa"/>
            <w:tcBorders>
              <w:top w:val="single" w:sz="6" w:space="0" w:color="auto"/>
              <w:left w:val="single" w:sz="6" w:space="0" w:color="auto"/>
              <w:bottom w:val="single" w:sz="6" w:space="0" w:color="auto"/>
              <w:right w:val="single" w:sz="6" w:space="0" w:color="auto"/>
            </w:tcBorders>
            <w:hideMark/>
          </w:tcPr>
          <w:p w14:paraId="57EB933F"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Ormond Hill/Point Ormond</w:t>
            </w:r>
          </w:p>
        </w:tc>
        <w:tc>
          <w:tcPr>
            <w:tcW w:w="1134" w:type="dxa"/>
            <w:tcBorders>
              <w:top w:val="single" w:sz="6" w:space="0" w:color="auto"/>
              <w:left w:val="single" w:sz="6" w:space="0" w:color="auto"/>
              <w:bottom w:val="single" w:sz="6" w:space="0" w:color="auto"/>
              <w:right w:val="single" w:sz="6" w:space="0" w:color="auto"/>
            </w:tcBorders>
          </w:tcPr>
          <w:p w14:paraId="037CB1CE" w14:textId="77777777" w:rsidR="00EC7BD3" w:rsidRDefault="00EC7BD3" w:rsidP="00EC7BD3">
            <w:pPr>
              <w:autoSpaceDE w:val="0"/>
              <w:autoSpaceDN w:val="0"/>
              <w:adjustRightInd w:val="0"/>
              <w:spacing w:after="0" w:line="240" w:lineRule="auto"/>
              <w:jc w:val="right"/>
              <w:rPr>
                <w:rFonts w:ascii="Calibri" w:hAnsi="Calibri" w:cs="Calibri"/>
                <w:color w:val="000000"/>
              </w:rPr>
            </w:pPr>
          </w:p>
        </w:tc>
        <w:tc>
          <w:tcPr>
            <w:tcW w:w="2268" w:type="dxa"/>
            <w:tcBorders>
              <w:top w:val="single" w:sz="6" w:space="0" w:color="auto"/>
              <w:left w:val="single" w:sz="6" w:space="0" w:color="auto"/>
              <w:bottom w:val="single" w:sz="6" w:space="0" w:color="auto"/>
              <w:right w:val="single" w:sz="6" w:space="0" w:color="auto"/>
            </w:tcBorders>
            <w:hideMark/>
          </w:tcPr>
          <w:p w14:paraId="61BDDE1C"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HO227</w:t>
            </w:r>
          </w:p>
        </w:tc>
      </w:tr>
      <w:tr w:rsidR="00EC7BD3" w14:paraId="5C1E4390" w14:textId="77777777" w:rsidTr="00211D49">
        <w:trPr>
          <w:trHeight w:val="187"/>
        </w:trPr>
        <w:tc>
          <w:tcPr>
            <w:tcW w:w="5275" w:type="dxa"/>
            <w:tcBorders>
              <w:top w:val="single" w:sz="6" w:space="0" w:color="auto"/>
              <w:left w:val="single" w:sz="6" w:space="0" w:color="auto"/>
              <w:bottom w:val="single" w:sz="6" w:space="0" w:color="auto"/>
              <w:right w:val="single" w:sz="6" w:space="0" w:color="auto"/>
            </w:tcBorders>
            <w:hideMark/>
          </w:tcPr>
          <w:p w14:paraId="0A105470"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Esplanade Hotel (The Espy)</w:t>
            </w:r>
          </w:p>
        </w:tc>
        <w:tc>
          <w:tcPr>
            <w:tcW w:w="1134" w:type="dxa"/>
            <w:tcBorders>
              <w:top w:val="single" w:sz="6" w:space="0" w:color="auto"/>
              <w:left w:val="single" w:sz="6" w:space="0" w:color="auto"/>
              <w:bottom w:val="single" w:sz="6" w:space="0" w:color="auto"/>
              <w:right w:val="single" w:sz="6" w:space="0" w:color="auto"/>
            </w:tcBorders>
          </w:tcPr>
          <w:p w14:paraId="2F8414EB" w14:textId="77777777" w:rsidR="00EC7BD3" w:rsidRDefault="00EC7BD3" w:rsidP="00EC7BD3">
            <w:pPr>
              <w:autoSpaceDE w:val="0"/>
              <w:autoSpaceDN w:val="0"/>
              <w:adjustRightInd w:val="0"/>
              <w:spacing w:after="0" w:line="240" w:lineRule="auto"/>
              <w:jc w:val="right"/>
              <w:rPr>
                <w:rFonts w:ascii="Calibri" w:hAnsi="Calibri" w:cs="Calibri"/>
                <w:color w:val="000000"/>
              </w:rPr>
            </w:pPr>
          </w:p>
        </w:tc>
        <w:tc>
          <w:tcPr>
            <w:tcW w:w="2268" w:type="dxa"/>
            <w:tcBorders>
              <w:top w:val="single" w:sz="6" w:space="0" w:color="auto"/>
              <w:left w:val="single" w:sz="6" w:space="0" w:color="auto"/>
              <w:bottom w:val="single" w:sz="6" w:space="0" w:color="auto"/>
              <w:right w:val="single" w:sz="6" w:space="0" w:color="auto"/>
            </w:tcBorders>
            <w:hideMark/>
          </w:tcPr>
          <w:p w14:paraId="7923591A"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HO117</w:t>
            </w:r>
          </w:p>
        </w:tc>
      </w:tr>
      <w:tr w:rsidR="00EC7BD3" w14:paraId="51B7B789" w14:textId="77777777" w:rsidTr="00211D49">
        <w:trPr>
          <w:trHeight w:val="175"/>
        </w:trPr>
        <w:tc>
          <w:tcPr>
            <w:tcW w:w="5275" w:type="dxa"/>
            <w:tcBorders>
              <w:top w:val="single" w:sz="6" w:space="0" w:color="auto"/>
              <w:left w:val="single" w:sz="6" w:space="0" w:color="auto"/>
              <w:bottom w:val="single" w:sz="6" w:space="0" w:color="auto"/>
              <w:right w:val="single" w:sz="6" w:space="0" w:color="auto"/>
            </w:tcBorders>
            <w:hideMark/>
          </w:tcPr>
          <w:p w14:paraId="1012D4BD"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Station Pier (including the gazebo)</w:t>
            </w:r>
          </w:p>
        </w:tc>
        <w:tc>
          <w:tcPr>
            <w:tcW w:w="1134" w:type="dxa"/>
            <w:tcBorders>
              <w:top w:val="single" w:sz="6" w:space="0" w:color="auto"/>
              <w:left w:val="single" w:sz="6" w:space="0" w:color="auto"/>
              <w:bottom w:val="single" w:sz="6" w:space="0" w:color="auto"/>
              <w:right w:val="single" w:sz="6" w:space="0" w:color="auto"/>
            </w:tcBorders>
            <w:hideMark/>
          </w:tcPr>
          <w:p w14:paraId="3D781FF1"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H0984 and H0985</w:t>
            </w:r>
          </w:p>
        </w:tc>
        <w:tc>
          <w:tcPr>
            <w:tcW w:w="2268" w:type="dxa"/>
            <w:tcBorders>
              <w:top w:val="single" w:sz="6" w:space="0" w:color="auto"/>
              <w:left w:val="single" w:sz="6" w:space="0" w:color="auto"/>
              <w:bottom w:val="single" w:sz="6" w:space="0" w:color="auto"/>
              <w:right w:val="single" w:sz="6" w:space="0" w:color="auto"/>
            </w:tcBorders>
            <w:hideMark/>
          </w:tcPr>
          <w:p w14:paraId="446E2CC1"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HO45 and HO465</w:t>
            </w:r>
          </w:p>
        </w:tc>
      </w:tr>
      <w:tr w:rsidR="00EC7BD3" w14:paraId="458DE29C" w14:textId="77777777" w:rsidTr="00211D49">
        <w:trPr>
          <w:trHeight w:val="240"/>
        </w:trPr>
        <w:tc>
          <w:tcPr>
            <w:tcW w:w="5275" w:type="dxa"/>
            <w:tcBorders>
              <w:top w:val="single" w:sz="6" w:space="0" w:color="auto"/>
              <w:left w:val="single" w:sz="6" w:space="0" w:color="auto"/>
              <w:bottom w:val="single" w:sz="6" w:space="0" w:color="auto"/>
              <w:right w:val="single" w:sz="6" w:space="0" w:color="auto"/>
            </w:tcBorders>
            <w:hideMark/>
          </w:tcPr>
          <w:p w14:paraId="1008F14B"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Gasworks Park (studios, farmers market and sculptures)</w:t>
            </w:r>
          </w:p>
        </w:tc>
        <w:tc>
          <w:tcPr>
            <w:tcW w:w="1134" w:type="dxa"/>
          </w:tcPr>
          <w:p w14:paraId="421D7AA6" w14:textId="77777777" w:rsidR="00EC7BD3" w:rsidRDefault="00EC7BD3" w:rsidP="00EC7BD3">
            <w:pPr>
              <w:autoSpaceDE w:val="0"/>
              <w:autoSpaceDN w:val="0"/>
              <w:adjustRightInd w:val="0"/>
              <w:spacing w:after="0" w:line="240" w:lineRule="auto"/>
              <w:jc w:val="right"/>
              <w:rPr>
                <w:rFonts w:ascii="Calibri" w:hAnsi="Calibri" w:cs="Calibri"/>
                <w:color w:val="000000"/>
              </w:rPr>
            </w:pPr>
          </w:p>
        </w:tc>
        <w:tc>
          <w:tcPr>
            <w:tcW w:w="2268" w:type="dxa"/>
            <w:tcBorders>
              <w:top w:val="single" w:sz="6" w:space="0" w:color="auto"/>
              <w:left w:val="single" w:sz="6" w:space="0" w:color="auto"/>
              <w:bottom w:val="single" w:sz="6" w:space="0" w:color="auto"/>
              <w:right w:val="single" w:sz="6" w:space="0" w:color="auto"/>
            </w:tcBorders>
            <w:hideMark/>
          </w:tcPr>
          <w:p w14:paraId="7FF7192D"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HO139</w:t>
            </w:r>
          </w:p>
        </w:tc>
      </w:tr>
      <w:tr w:rsidR="00EC7BD3" w14:paraId="1DAA98B9" w14:textId="77777777" w:rsidTr="00211D49">
        <w:trPr>
          <w:trHeight w:val="386"/>
        </w:trPr>
        <w:tc>
          <w:tcPr>
            <w:tcW w:w="5275" w:type="dxa"/>
            <w:tcBorders>
              <w:top w:val="single" w:sz="6" w:space="0" w:color="auto"/>
              <w:left w:val="single" w:sz="6" w:space="0" w:color="auto"/>
              <w:bottom w:val="single" w:sz="6" w:space="0" w:color="auto"/>
              <w:right w:val="single" w:sz="6" w:space="0" w:color="auto"/>
            </w:tcBorders>
            <w:hideMark/>
          </w:tcPr>
          <w:p w14:paraId="6F3B5FE6"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Catani Gardens and Slopes (also Carlo Catani Clock Tower and arch)</w:t>
            </w:r>
          </w:p>
        </w:tc>
        <w:tc>
          <w:tcPr>
            <w:tcW w:w="1134" w:type="dxa"/>
            <w:tcBorders>
              <w:top w:val="single" w:sz="6" w:space="0" w:color="auto"/>
              <w:left w:val="single" w:sz="6" w:space="0" w:color="auto"/>
              <w:bottom w:val="single" w:sz="6" w:space="0" w:color="auto"/>
              <w:right w:val="single" w:sz="6" w:space="0" w:color="auto"/>
            </w:tcBorders>
            <w:hideMark/>
          </w:tcPr>
          <w:p w14:paraId="53DAE39A"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H1805</w:t>
            </w:r>
          </w:p>
        </w:tc>
        <w:tc>
          <w:tcPr>
            <w:tcW w:w="2268" w:type="dxa"/>
            <w:tcBorders>
              <w:top w:val="single" w:sz="6" w:space="0" w:color="auto"/>
              <w:left w:val="single" w:sz="6" w:space="0" w:color="auto"/>
              <w:bottom w:val="single" w:sz="6" w:space="0" w:color="auto"/>
              <w:right w:val="single" w:sz="6" w:space="0" w:color="auto"/>
            </w:tcBorders>
            <w:hideMark/>
          </w:tcPr>
          <w:p w14:paraId="0F5A7E43"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Gardens HO348, Arch HO169, HO5 (Catani Slopes) Tower</w:t>
            </w:r>
          </w:p>
        </w:tc>
      </w:tr>
      <w:tr w:rsidR="00EC7BD3" w14:paraId="277DBB47" w14:textId="77777777" w:rsidTr="00211D49">
        <w:trPr>
          <w:trHeight w:val="240"/>
        </w:trPr>
        <w:tc>
          <w:tcPr>
            <w:tcW w:w="5275" w:type="dxa"/>
            <w:tcBorders>
              <w:top w:val="single" w:sz="6" w:space="0" w:color="auto"/>
              <w:left w:val="single" w:sz="6" w:space="0" w:color="auto"/>
              <w:bottom w:val="single" w:sz="6" w:space="0" w:color="auto"/>
              <w:right w:val="single" w:sz="6" w:space="0" w:color="auto"/>
            </w:tcBorders>
            <w:hideMark/>
          </w:tcPr>
          <w:p w14:paraId="34B1B684"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St Kilda Town Hall</w:t>
            </w:r>
          </w:p>
        </w:tc>
        <w:tc>
          <w:tcPr>
            <w:tcW w:w="1134" w:type="dxa"/>
            <w:tcBorders>
              <w:top w:val="single" w:sz="6" w:space="0" w:color="auto"/>
              <w:left w:val="single" w:sz="6" w:space="0" w:color="auto"/>
              <w:bottom w:val="single" w:sz="6" w:space="0" w:color="auto"/>
              <w:right w:val="single" w:sz="6" w:space="0" w:color="auto"/>
            </w:tcBorders>
          </w:tcPr>
          <w:p w14:paraId="20B3C078" w14:textId="77777777" w:rsidR="00EC7BD3" w:rsidRDefault="00EC7BD3" w:rsidP="00EC7BD3">
            <w:pPr>
              <w:autoSpaceDE w:val="0"/>
              <w:autoSpaceDN w:val="0"/>
              <w:adjustRightInd w:val="0"/>
              <w:spacing w:after="0" w:line="240" w:lineRule="auto"/>
              <w:jc w:val="right"/>
              <w:rPr>
                <w:rFonts w:ascii="Calibri" w:hAnsi="Calibri" w:cs="Calibri"/>
                <w:color w:val="000000"/>
              </w:rPr>
            </w:pPr>
          </w:p>
        </w:tc>
        <w:tc>
          <w:tcPr>
            <w:tcW w:w="2268" w:type="dxa"/>
            <w:tcBorders>
              <w:top w:val="single" w:sz="6" w:space="0" w:color="auto"/>
              <w:left w:val="single" w:sz="6" w:space="0" w:color="auto"/>
              <w:bottom w:val="single" w:sz="6" w:space="0" w:color="auto"/>
              <w:right w:val="single" w:sz="6" w:space="0" w:color="auto"/>
            </w:tcBorders>
            <w:hideMark/>
          </w:tcPr>
          <w:p w14:paraId="2AEB7F41"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HO63</w:t>
            </w:r>
          </w:p>
        </w:tc>
      </w:tr>
      <w:tr w:rsidR="00EC7BD3" w14:paraId="25677476" w14:textId="77777777" w:rsidTr="00211D49">
        <w:trPr>
          <w:trHeight w:val="240"/>
        </w:trPr>
        <w:tc>
          <w:tcPr>
            <w:tcW w:w="5275" w:type="dxa"/>
            <w:tcBorders>
              <w:top w:val="single" w:sz="6" w:space="0" w:color="auto"/>
              <w:left w:val="single" w:sz="6" w:space="0" w:color="auto"/>
              <w:bottom w:val="single" w:sz="6" w:space="0" w:color="auto"/>
              <w:right w:val="single" w:sz="6" w:space="0" w:color="auto"/>
            </w:tcBorders>
            <w:hideMark/>
          </w:tcPr>
          <w:p w14:paraId="1D866464"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National Theatre</w:t>
            </w:r>
          </w:p>
        </w:tc>
        <w:tc>
          <w:tcPr>
            <w:tcW w:w="1134" w:type="dxa"/>
            <w:tcBorders>
              <w:top w:val="single" w:sz="6" w:space="0" w:color="auto"/>
              <w:left w:val="single" w:sz="6" w:space="0" w:color="auto"/>
              <w:bottom w:val="single" w:sz="6" w:space="0" w:color="auto"/>
              <w:right w:val="single" w:sz="6" w:space="0" w:color="auto"/>
            </w:tcBorders>
            <w:hideMark/>
          </w:tcPr>
          <w:p w14:paraId="47C622C0"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H2092</w:t>
            </w:r>
          </w:p>
        </w:tc>
        <w:tc>
          <w:tcPr>
            <w:tcW w:w="2268" w:type="dxa"/>
            <w:tcBorders>
              <w:top w:val="single" w:sz="6" w:space="0" w:color="auto"/>
              <w:left w:val="single" w:sz="6" w:space="0" w:color="auto"/>
              <w:bottom w:val="single" w:sz="6" w:space="0" w:color="auto"/>
              <w:right w:val="single" w:sz="6" w:space="0" w:color="auto"/>
            </w:tcBorders>
            <w:hideMark/>
          </w:tcPr>
          <w:p w14:paraId="172FF219"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HO74</w:t>
            </w:r>
          </w:p>
        </w:tc>
      </w:tr>
      <w:tr w:rsidR="00EC7BD3" w14:paraId="43C0C727" w14:textId="77777777" w:rsidTr="00211D49">
        <w:trPr>
          <w:trHeight w:val="262"/>
        </w:trPr>
        <w:tc>
          <w:tcPr>
            <w:tcW w:w="5275" w:type="dxa"/>
            <w:tcBorders>
              <w:top w:val="single" w:sz="6" w:space="0" w:color="auto"/>
              <w:left w:val="single" w:sz="6" w:space="0" w:color="auto"/>
              <w:bottom w:val="single" w:sz="6" w:space="0" w:color="auto"/>
              <w:right w:val="single" w:sz="6" w:space="0" w:color="auto"/>
            </w:tcBorders>
            <w:hideMark/>
          </w:tcPr>
          <w:p w14:paraId="0CEBA25F"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St Kilda Cemetery</w:t>
            </w:r>
          </w:p>
        </w:tc>
        <w:tc>
          <w:tcPr>
            <w:tcW w:w="1134" w:type="dxa"/>
            <w:tcBorders>
              <w:top w:val="single" w:sz="6" w:space="0" w:color="auto"/>
              <w:left w:val="single" w:sz="6" w:space="0" w:color="auto"/>
              <w:bottom w:val="single" w:sz="6" w:space="0" w:color="auto"/>
              <w:right w:val="single" w:sz="6" w:space="0" w:color="auto"/>
            </w:tcBorders>
            <w:hideMark/>
          </w:tcPr>
          <w:p w14:paraId="46C0BF46"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H1081</w:t>
            </w:r>
          </w:p>
        </w:tc>
        <w:tc>
          <w:tcPr>
            <w:tcW w:w="2268" w:type="dxa"/>
            <w:tcBorders>
              <w:top w:val="single" w:sz="6" w:space="0" w:color="auto"/>
              <w:left w:val="single" w:sz="6" w:space="0" w:color="auto"/>
              <w:bottom w:val="single" w:sz="6" w:space="0" w:color="auto"/>
              <w:right w:val="single" w:sz="6" w:space="0" w:color="auto"/>
            </w:tcBorders>
            <w:hideMark/>
          </w:tcPr>
          <w:p w14:paraId="6B76B313"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HO455</w:t>
            </w:r>
          </w:p>
        </w:tc>
      </w:tr>
      <w:tr w:rsidR="00EC7BD3" w14:paraId="0B369C46" w14:textId="77777777" w:rsidTr="00211D49">
        <w:trPr>
          <w:trHeight w:val="230"/>
        </w:trPr>
        <w:tc>
          <w:tcPr>
            <w:tcW w:w="5275" w:type="dxa"/>
            <w:tcBorders>
              <w:top w:val="single" w:sz="6" w:space="0" w:color="auto"/>
              <w:left w:val="single" w:sz="6" w:space="0" w:color="auto"/>
              <w:bottom w:val="single" w:sz="6" w:space="0" w:color="auto"/>
              <w:right w:val="single" w:sz="6" w:space="0" w:color="auto"/>
            </w:tcBorders>
            <w:hideMark/>
          </w:tcPr>
          <w:p w14:paraId="55A508B2"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St Vincent Gardens/Place (seating and water fountain)</w:t>
            </w:r>
          </w:p>
        </w:tc>
        <w:tc>
          <w:tcPr>
            <w:tcW w:w="1134" w:type="dxa"/>
            <w:tcBorders>
              <w:top w:val="single" w:sz="6" w:space="0" w:color="auto"/>
              <w:left w:val="single" w:sz="6" w:space="0" w:color="auto"/>
              <w:bottom w:val="single" w:sz="6" w:space="0" w:color="auto"/>
              <w:right w:val="single" w:sz="6" w:space="0" w:color="auto"/>
            </w:tcBorders>
            <w:hideMark/>
          </w:tcPr>
          <w:p w14:paraId="374B7339"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H1291</w:t>
            </w:r>
          </w:p>
        </w:tc>
        <w:tc>
          <w:tcPr>
            <w:tcW w:w="2268" w:type="dxa"/>
            <w:tcBorders>
              <w:top w:val="single" w:sz="6" w:space="0" w:color="auto"/>
              <w:left w:val="single" w:sz="6" w:space="0" w:color="auto"/>
              <w:bottom w:val="single" w:sz="6" w:space="0" w:color="auto"/>
              <w:right w:val="single" w:sz="6" w:space="0" w:color="auto"/>
            </w:tcBorders>
            <w:hideMark/>
          </w:tcPr>
          <w:p w14:paraId="64903463"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HO258</w:t>
            </w:r>
          </w:p>
        </w:tc>
      </w:tr>
      <w:tr w:rsidR="00EC7BD3" w14:paraId="5B19EC93" w14:textId="77777777" w:rsidTr="00211D49">
        <w:trPr>
          <w:trHeight w:val="250"/>
        </w:trPr>
        <w:tc>
          <w:tcPr>
            <w:tcW w:w="5275" w:type="dxa"/>
            <w:tcBorders>
              <w:top w:val="single" w:sz="6" w:space="0" w:color="auto"/>
              <w:left w:val="single" w:sz="6" w:space="0" w:color="auto"/>
              <w:bottom w:val="single" w:sz="6" w:space="0" w:color="auto"/>
              <w:right w:val="single" w:sz="6" w:space="0" w:color="auto"/>
            </w:tcBorders>
            <w:hideMark/>
          </w:tcPr>
          <w:p w14:paraId="4915E8E5"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Port Melbourne Town Hall</w:t>
            </w:r>
          </w:p>
        </w:tc>
        <w:tc>
          <w:tcPr>
            <w:tcW w:w="1134" w:type="dxa"/>
            <w:tcBorders>
              <w:top w:val="single" w:sz="6" w:space="0" w:color="auto"/>
              <w:left w:val="single" w:sz="6" w:space="0" w:color="auto"/>
              <w:bottom w:val="single" w:sz="6" w:space="0" w:color="auto"/>
              <w:right w:val="single" w:sz="6" w:space="0" w:color="auto"/>
            </w:tcBorders>
          </w:tcPr>
          <w:p w14:paraId="68946D42" w14:textId="77777777" w:rsidR="00EC7BD3" w:rsidRDefault="00EC7BD3" w:rsidP="00EC7BD3">
            <w:pPr>
              <w:autoSpaceDE w:val="0"/>
              <w:autoSpaceDN w:val="0"/>
              <w:adjustRightInd w:val="0"/>
              <w:spacing w:after="0" w:line="240" w:lineRule="auto"/>
              <w:jc w:val="right"/>
              <w:rPr>
                <w:rFonts w:ascii="Calibri" w:hAnsi="Calibri" w:cs="Calibri"/>
                <w:color w:val="000000"/>
              </w:rPr>
            </w:pPr>
          </w:p>
        </w:tc>
        <w:tc>
          <w:tcPr>
            <w:tcW w:w="2268" w:type="dxa"/>
            <w:tcBorders>
              <w:top w:val="single" w:sz="6" w:space="0" w:color="auto"/>
              <w:left w:val="single" w:sz="6" w:space="0" w:color="auto"/>
              <w:bottom w:val="single" w:sz="6" w:space="0" w:color="auto"/>
              <w:right w:val="single" w:sz="6" w:space="0" w:color="auto"/>
            </w:tcBorders>
            <w:hideMark/>
          </w:tcPr>
          <w:p w14:paraId="2130758A"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HO41</w:t>
            </w:r>
          </w:p>
        </w:tc>
      </w:tr>
      <w:tr w:rsidR="00EC7BD3" w14:paraId="1DB2F823" w14:textId="77777777" w:rsidTr="00211D49">
        <w:trPr>
          <w:trHeight w:val="240"/>
        </w:trPr>
        <w:tc>
          <w:tcPr>
            <w:tcW w:w="5275" w:type="dxa"/>
            <w:tcBorders>
              <w:top w:val="single" w:sz="6" w:space="0" w:color="auto"/>
              <w:left w:val="single" w:sz="6" w:space="0" w:color="auto"/>
              <w:bottom w:val="single" w:sz="6" w:space="0" w:color="auto"/>
              <w:right w:val="single" w:sz="6" w:space="0" w:color="auto"/>
            </w:tcBorders>
            <w:hideMark/>
          </w:tcPr>
          <w:p w14:paraId="0C959B26"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lastRenderedPageBreak/>
              <w:t xml:space="preserve">North Port Oval/Murphy Reserve </w:t>
            </w:r>
          </w:p>
        </w:tc>
        <w:tc>
          <w:tcPr>
            <w:tcW w:w="1134" w:type="dxa"/>
            <w:tcBorders>
              <w:top w:val="single" w:sz="6" w:space="0" w:color="auto"/>
              <w:left w:val="single" w:sz="6" w:space="0" w:color="auto"/>
              <w:bottom w:val="single" w:sz="6" w:space="0" w:color="auto"/>
              <w:right w:val="single" w:sz="6" w:space="0" w:color="auto"/>
            </w:tcBorders>
          </w:tcPr>
          <w:p w14:paraId="626DA8D1" w14:textId="77777777" w:rsidR="00EC7BD3" w:rsidRDefault="00EC7BD3" w:rsidP="00EC7BD3">
            <w:pPr>
              <w:autoSpaceDE w:val="0"/>
              <w:autoSpaceDN w:val="0"/>
              <w:adjustRightInd w:val="0"/>
              <w:spacing w:after="0" w:line="240" w:lineRule="auto"/>
              <w:jc w:val="right"/>
              <w:rPr>
                <w:rFonts w:ascii="Calibri" w:hAnsi="Calibri" w:cs="Calibri"/>
                <w:color w:val="000000"/>
              </w:rPr>
            </w:pPr>
          </w:p>
        </w:tc>
        <w:tc>
          <w:tcPr>
            <w:tcW w:w="2268" w:type="dxa"/>
            <w:tcBorders>
              <w:top w:val="single" w:sz="6" w:space="0" w:color="auto"/>
              <w:left w:val="single" w:sz="6" w:space="0" w:color="auto"/>
              <w:bottom w:val="single" w:sz="6" w:space="0" w:color="auto"/>
              <w:right w:val="single" w:sz="6" w:space="0" w:color="auto"/>
            </w:tcBorders>
            <w:hideMark/>
          </w:tcPr>
          <w:p w14:paraId="23F2339E"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HO447 (Northport Oval) </w:t>
            </w:r>
          </w:p>
        </w:tc>
      </w:tr>
      <w:tr w:rsidR="00EC7BD3" w14:paraId="650B0B62" w14:textId="77777777" w:rsidTr="00211D49">
        <w:trPr>
          <w:trHeight w:val="240"/>
        </w:trPr>
        <w:tc>
          <w:tcPr>
            <w:tcW w:w="5275" w:type="dxa"/>
            <w:tcBorders>
              <w:top w:val="single" w:sz="6" w:space="0" w:color="auto"/>
              <w:left w:val="single" w:sz="6" w:space="0" w:color="auto"/>
              <w:bottom w:val="single" w:sz="6" w:space="0" w:color="auto"/>
              <w:right w:val="single" w:sz="6" w:space="0" w:color="auto"/>
            </w:tcBorders>
            <w:hideMark/>
          </w:tcPr>
          <w:p w14:paraId="75E611FB"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South Melbourne Town Hall</w:t>
            </w:r>
          </w:p>
        </w:tc>
        <w:tc>
          <w:tcPr>
            <w:tcW w:w="1134" w:type="dxa"/>
            <w:tcBorders>
              <w:top w:val="single" w:sz="6" w:space="0" w:color="auto"/>
              <w:left w:val="single" w:sz="6" w:space="0" w:color="auto"/>
              <w:bottom w:val="single" w:sz="6" w:space="0" w:color="auto"/>
              <w:right w:val="single" w:sz="6" w:space="0" w:color="auto"/>
            </w:tcBorders>
            <w:hideMark/>
          </w:tcPr>
          <w:p w14:paraId="164CBE07"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H0217</w:t>
            </w:r>
          </w:p>
        </w:tc>
        <w:tc>
          <w:tcPr>
            <w:tcW w:w="2268" w:type="dxa"/>
            <w:tcBorders>
              <w:top w:val="single" w:sz="6" w:space="0" w:color="auto"/>
              <w:left w:val="single" w:sz="6" w:space="0" w:color="auto"/>
              <w:bottom w:val="single" w:sz="6" w:space="0" w:color="auto"/>
              <w:right w:val="single" w:sz="6" w:space="0" w:color="auto"/>
            </w:tcBorders>
            <w:hideMark/>
          </w:tcPr>
          <w:p w14:paraId="1922BF21"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HO28</w:t>
            </w:r>
          </w:p>
        </w:tc>
      </w:tr>
      <w:tr w:rsidR="00EC7BD3" w14:paraId="039EE83F" w14:textId="77777777" w:rsidTr="00211D49">
        <w:trPr>
          <w:trHeight w:val="218"/>
        </w:trPr>
        <w:tc>
          <w:tcPr>
            <w:tcW w:w="5275" w:type="dxa"/>
            <w:tcBorders>
              <w:top w:val="single" w:sz="6" w:space="0" w:color="auto"/>
              <w:left w:val="single" w:sz="6" w:space="0" w:color="auto"/>
              <w:bottom w:val="single" w:sz="6" w:space="0" w:color="auto"/>
              <w:right w:val="single" w:sz="6" w:space="0" w:color="auto"/>
            </w:tcBorders>
            <w:hideMark/>
          </w:tcPr>
          <w:p w14:paraId="73C0A9DB"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Astor Theatre</w:t>
            </w:r>
          </w:p>
        </w:tc>
        <w:tc>
          <w:tcPr>
            <w:tcW w:w="1134" w:type="dxa"/>
            <w:tcBorders>
              <w:top w:val="single" w:sz="6" w:space="0" w:color="auto"/>
              <w:left w:val="single" w:sz="6" w:space="0" w:color="auto"/>
              <w:bottom w:val="single" w:sz="6" w:space="0" w:color="auto"/>
              <w:right w:val="single" w:sz="6" w:space="0" w:color="auto"/>
            </w:tcBorders>
            <w:hideMark/>
          </w:tcPr>
          <w:p w14:paraId="41412F0B"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H1751</w:t>
            </w:r>
          </w:p>
        </w:tc>
        <w:tc>
          <w:tcPr>
            <w:tcW w:w="2268" w:type="dxa"/>
            <w:tcBorders>
              <w:top w:val="single" w:sz="6" w:space="0" w:color="auto"/>
              <w:left w:val="single" w:sz="6" w:space="0" w:color="auto"/>
              <w:bottom w:val="single" w:sz="6" w:space="0" w:color="auto"/>
              <w:right w:val="single" w:sz="6" w:space="0" w:color="auto"/>
            </w:tcBorders>
            <w:hideMark/>
          </w:tcPr>
          <w:p w14:paraId="7CB695D4"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HO83</w:t>
            </w:r>
          </w:p>
        </w:tc>
      </w:tr>
      <w:tr w:rsidR="00EC7BD3" w14:paraId="603E38C9" w14:textId="77777777" w:rsidTr="00211D49">
        <w:trPr>
          <w:trHeight w:val="187"/>
        </w:trPr>
        <w:tc>
          <w:tcPr>
            <w:tcW w:w="5275" w:type="dxa"/>
            <w:tcBorders>
              <w:top w:val="single" w:sz="6" w:space="0" w:color="auto"/>
              <w:left w:val="single" w:sz="6" w:space="0" w:color="auto"/>
              <w:bottom w:val="single" w:sz="6" w:space="0" w:color="auto"/>
              <w:right w:val="single" w:sz="6" w:space="0" w:color="auto"/>
            </w:tcBorders>
            <w:hideMark/>
          </w:tcPr>
          <w:p w14:paraId="024060AE"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Elwood Canal</w:t>
            </w:r>
          </w:p>
        </w:tc>
        <w:tc>
          <w:tcPr>
            <w:tcW w:w="1134" w:type="dxa"/>
            <w:tcBorders>
              <w:top w:val="single" w:sz="6" w:space="0" w:color="auto"/>
              <w:left w:val="single" w:sz="6" w:space="0" w:color="auto"/>
              <w:bottom w:val="single" w:sz="6" w:space="0" w:color="auto"/>
              <w:right w:val="single" w:sz="6" w:space="0" w:color="auto"/>
            </w:tcBorders>
          </w:tcPr>
          <w:p w14:paraId="7AC991A1" w14:textId="77777777" w:rsidR="00EC7BD3" w:rsidRDefault="00EC7BD3" w:rsidP="00EC7BD3">
            <w:pPr>
              <w:autoSpaceDE w:val="0"/>
              <w:autoSpaceDN w:val="0"/>
              <w:adjustRightInd w:val="0"/>
              <w:spacing w:after="0" w:line="240" w:lineRule="auto"/>
              <w:jc w:val="right"/>
              <w:rPr>
                <w:rFonts w:ascii="Calibri" w:hAnsi="Calibri" w:cs="Calibri"/>
                <w:color w:val="000000"/>
              </w:rPr>
            </w:pPr>
          </w:p>
        </w:tc>
        <w:tc>
          <w:tcPr>
            <w:tcW w:w="2268" w:type="dxa"/>
            <w:tcBorders>
              <w:top w:val="single" w:sz="6" w:space="0" w:color="auto"/>
              <w:left w:val="single" w:sz="6" w:space="0" w:color="auto"/>
              <w:bottom w:val="single" w:sz="6" w:space="0" w:color="auto"/>
              <w:right w:val="single" w:sz="6" w:space="0" w:color="auto"/>
            </w:tcBorders>
            <w:hideMark/>
          </w:tcPr>
          <w:p w14:paraId="21E4C3F4"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HO402</w:t>
            </w:r>
          </w:p>
        </w:tc>
      </w:tr>
      <w:tr w:rsidR="00EC7BD3" w14:paraId="1D5896BB" w14:textId="77777777" w:rsidTr="00211D49">
        <w:trPr>
          <w:trHeight w:val="199"/>
        </w:trPr>
        <w:tc>
          <w:tcPr>
            <w:tcW w:w="5275" w:type="dxa"/>
            <w:tcBorders>
              <w:top w:val="single" w:sz="6" w:space="0" w:color="auto"/>
              <w:left w:val="single" w:sz="6" w:space="0" w:color="auto"/>
              <w:bottom w:val="single" w:sz="6" w:space="0" w:color="auto"/>
              <w:right w:val="single" w:sz="6" w:space="0" w:color="auto"/>
            </w:tcBorders>
            <w:hideMark/>
          </w:tcPr>
          <w:p w14:paraId="4E156C5B"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Alma Park</w:t>
            </w:r>
          </w:p>
        </w:tc>
        <w:tc>
          <w:tcPr>
            <w:tcW w:w="1134" w:type="dxa"/>
            <w:tcBorders>
              <w:top w:val="single" w:sz="6" w:space="0" w:color="auto"/>
              <w:left w:val="single" w:sz="6" w:space="0" w:color="auto"/>
              <w:bottom w:val="single" w:sz="6" w:space="0" w:color="auto"/>
              <w:right w:val="single" w:sz="6" w:space="0" w:color="auto"/>
            </w:tcBorders>
          </w:tcPr>
          <w:p w14:paraId="26EACA22" w14:textId="77777777" w:rsidR="00EC7BD3" w:rsidRDefault="00EC7BD3" w:rsidP="00EC7BD3">
            <w:pPr>
              <w:autoSpaceDE w:val="0"/>
              <w:autoSpaceDN w:val="0"/>
              <w:adjustRightInd w:val="0"/>
              <w:spacing w:after="0" w:line="240" w:lineRule="auto"/>
              <w:jc w:val="right"/>
              <w:rPr>
                <w:rFonts w:ascii="Calibri" w:hAnsi="Calibri" w:cs="Calibri"/>
                <w:color w:val="000000"/>
              </w:rPr>
            </w:pPr>
          </w:p>
        </w:tc>
        <w:tc>
          <w:tcPr>
            <w:tcW w:w="2268" w:type="dxa"/>
            <w:tcBorders>
              <w:top w:val="single" w:sz="6" w:space="0" w:color="auto"/>
              <w:left w:val="single" w:sz="6" w:space="0" w:color="auto"/>
              <w:bottom w:val="single" w:sz="6" w:space="0" w:color="auto"/>
              <w:right w:val="single" w:sz="6" w:space="0" w:color="auto"/>
            </w:tcBorders>
            <w:hideMark/>
          </w:tcPr>
          <w:p w14:paraId="1859437C"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HO102 Keepers Lodge only</w:t>
            </w:r>
          </w:p>
          <w:p w14:paraId="337EAA50"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HO6 balance of park</w:t>
            </w:r>
          </w:p>
        </w:tc>
      </w:tr>
      <w:tr w:rsidR="00EC7BD3" w14:paraId="3355AE96" w14:textId="77777777" w:rsidTr="00211D49">
        <w:trPr>
          <w:trHeight w:val="408"/>
        </w:trPr>
        <w:tc>
          <w:tcPr>
            <w:tcW w:w="5275" w:type="dxa"/>
            <w:tcBorders>
              <w:top w:val="single" w:sz="6" w:space="0" w:color="auto"/>
              <w:left w:val="single" w:sz="6" w:space="0" w:color="auto"/>
              <w:bottom w:val="single" w:sz="6" w:space="0" w:color="auto"/>
              <w:right w:val="single" w:sz="6" w:space="0" w:color="auto"/>
            </w:tcBorders>
            <w:hideMark/>
          </w:tcPr>
          <w:p w14:paraId="6A9B4B57"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South Melbourne shops (including verandahs on Clarendon Street)</w:t>
            </w:r>
          </w:p>
        </w:tc>
        <w:tc>
          <w:tcPr>
            <w:tcW w:w="1134" w:type="dxa"/>
            <w:tcBorders>
              <w:top w:val="single" w:sz="6" w:space="0" w:color="auto"/>
              <w:left w:val="single" w:sz="6" w:space="0" w:color="auto"/>
              <w:bottom w:val="single" w:sz="6" w:space="0" w:color="auto"/>
              <w:right w:val="single" w:sz="6" w:space="0" w:color="auto"/>
            </w:tcBorders>
            <w:hideMark/>
          </w:tcPr>
          <w:p w14:paraId="62A6266A"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H1136 (area within HO30 only)</w:t>
            </w:r>
          </w:p>
        </w:tc>
        <w:tc>
          <w:tcPr>
            <w:tcW w:w="2268" w:type="dxa"/>
            <w:tcBorders>
              <w:top w:val="single" w:sz="6" w:space="0" w:color="auto"/>
              <w:left w:val="single" w:sz="6" w:space="0" w:color="auto"/>
              <w:bottom w:val="single" w:sz="6" w:space="0" w:color="auto"/>
              <w:right w:val="single" w:sz="6" w:space="0" w:color="auto"/>
            </w:tcBorders>
            <w:hideMark/>
          </w:tcPr>
          <w:p w14:paraId="1B1C9A3C"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HO440 (Emerald Hill), HO30 (Emerald Hill Estate)</w:t>
            </w:r>
          </w:p>
        </w:tc>
      </w:tr>
      <w:tr w:rsidR="00EC7BD3" w14:paraId="028ECD92" w14:textId="77777777" w:rsidTr="00211D49">
        <w:trPr>
          <w:trHeight w:val="218"/>
        </w:trPr>
        <w:tc>
          <w:tcPr>
            <w:tcW w:w="5275" w:type="dxa"/>
            <w:tcBorders>
              <w:top w:val="single" w:sz="6" w:space="0" w:color="auto"/>
              <w:left w:val="single" w:sz="6" w:space="0" w:color="auto"/>
              <w:bottom w:val="single" w:sz="6" w:space="0" w:color="auto"/>
              <w:right w:val="single" w:sz="6" w:space="0" w:color="auto"/>
            </w:tcBorders>
            <w:hideMark/>
          </w:tcPr>
          <w:p w14:paraId="79179292"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Ngargee Tree (Corroboree) St Kilda</w:t>
            </w:r>
          </w:p>
        </w:tc>
        <w:tc>
          <w:tcPr>
            <w:tcW w:w="1134" w:type="dxa"/>
            <w:tcBorders>
              <w:top w:val="single" w:sz="6" w:space="0" w:color="auto"/>
              <w:left w:val="single" w:sz="6" w:space="0" w:color="auto"/>
              <w:bottom w:val="single" w:sz="6" w:space="0" w:color="auto"/>
              <w:right w:val="single" w:sz="6" w:space="0" w:color="auto"/>
            </w:tcBorders>
          </w:tcPr>
          <w:p w14:paraId="185EE254" w14:textId="77777777" w:rsidR="00EC7BD3" w:rsidRDefault="00EC7BD3" w:rsidP="00EC7BD3">
            <w:pPr>
              <w:autoSpaceDE w:val="0"/>
              <w:autoSpaceDN w:val="0"/>
              <w:adjustRightInd w:val="0"/>
              <w:spacing w:after="0" w:line="240" w:lineRule="auto"/>
              <w:jc w:val="right"/>
              <w:rPr>
                <w:rFonts w:ascii="Calibri" w:hAnsi="Calibri" w:cs="Calibri"/>
                <w:color w:val="000000"/>
              </w:rPr>
            </w:pPr>
          </w:p>
        </w:tc>
        <w:tc>
          <w:tcPr>
            <w:tcW w:w="2268" w:type="dxa"/>
            <w:tcBorders>
              <w:top w:val="single" w:sz="6" w:space="0" w:color="auto"/>
              <w:left w:val="single" w:sz="6" w:space="0" w:color="auto"/>
              <w:bottom w:val="single" w:sz="6" w:space="0" w:color="auto"/>
              <w:right w:val="single" w:sz="6" w:space="0" w:color="auto"/>
            </w:tcBorders>
            <w:hideMark/>
          </w:tcPr>
          <w:p w14:paraId="0B1D6A97"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HO14</w:t>
            </w:r>
          </w:p>
        </w:tc>
      </w:tr>
      <w:tr w:rsidR="00EC7BD3" w14:paraId="183D875F" w14:textId="77777777" w:rsidTr="00211D49">
        <w:trPr>
          <w:trHeight w:val="209"/>
        </w:trPr>
        <w:tc>
          <w:tcPr>
            <w:tcW w:w="5275" w:type="dxa"/>
            <w:tcBorders>
              <w:top w:val="single" w:sz="6" w:space="0" w:color="auto"/>
              <w:left w:val="single" w:sz="6" w:space="0" w:color="auto"/>
              <w:bottom w:val="single" w:sz="6" w:space="0" w:color="auto"/>
              <w:right w:val="single" w:sz="6" w:space="0" w:color="auto"/>
            </w:tcBorders>
            <w:hideMark/>
          </w:tcPr>
          <w:p w14:paraId="3B70FBAF"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The George Hotel and Cinema</w:t>
            </w:r>
          </w:p>
        </w:tc>
        <w:tc>
          <w:tcPr>
            <w:tcW w:w="1134" w:type="dxa"/>
            <w:tcBorders>
              <w:top w:val="single" w:sz="6" w:space="0" w:color="auto"/>
              <w:left w:val="single" w:sz="6" w:space="0" w:color="auto"/>
              <w:bottom w:val="single" w:sz="6" w:space="0" w:color="auto"/>
              <w:right w:val="single" w:sz="6" w:space="0" w:color="auto"/>
            </w:tcBorders>
            <w:hideMark/>
          </w:tcPr>
          <w:p w14:paraId="78743167"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H0706</w:t>
            </w:r>
          </w:p>
        </w:tc>
        <w:tc>
          <w:tcPr>
            <w:tcW w:w="2268" w:type="dxa"/>
            <w:tcBorders>
              <w:top w:val="single" w:sz="6" w:space="0" w:color="auto"/>
              <w:left w:val="single" w:sz="6" w:space="0" w:color="auto"/>
              <w:bottom w:val="single" w:sz="6" w:space="0" w:color="auto"/>
              <w:right w:val="single" w:sz="6" w:space="0" w:color="auto"/>
            </w:tcBorders>
            <w:hideMark/>
          </w:tcPr>
          <w:p w14:paraId="1C98428B"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HO127</w:t>
            </w:r>
          </w:p>
        </w:tc>
      </w:tr>
      <w:tr w:rsidR="00EC7BD3" w14:paraId="1AB32C8E" w14:textId="77777777" w:rsidTr="00211D49">
        <w:trPr>
          <w:trHeight w:val="355"/>
        </w:trPr>
        <w:tc>
          <w:tcPr>
            <w:tcW w:w="5275" w:type="dxa"/>
            <w:tcBorders>
              <w:top w:val="single" w:sz="6" w:space="0" w:color="auto"/>
              <w:left w:val="single" w:sz="6" w:space="0" w:color="auto"/>
              <w:bottom w:val="single" w:sz="6" w:space="0" w:color="auto"/>
              <w:right w:val="single" w:sz="4" w:space="0" w:color="auto"/>
            </w:tcBorders>
            <w:hideMark/>
          </w:tcPr>
          <w:p w14:paraId="0B7EF5D2"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St Kilda Road Synagogue (St Kilda Hebrew Congregation Synagogue, Charnwood Road)</w:t>
            </w:r>
          </w:p>
        </w:tc>
        <w:tc>
          <w:tcPr>
            <w:tcW w:w="1134" w:type="dxa"/>
            <w:tcBorders>
              <w:top w:val="single" w:sz="6" w:space="0" w:color="auto"/>
              <w:left w:val="single" w:sz="4" w:space="0" w:color="auto"/>
              <w:bottom w:val="single" w:sz="6" w:space="0" w:color="auto"/>
              <w:right w:val="single" w:sz="6" w:space="0" w:color="auto"/>
            </w:tcBorders>
            <w:hideMark/>
          </w:tcPr>
          <w:p w14:paraId="20A93682"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H1968</w:t>
            </w:r>
          </w:p>
        </w:tc>
        <w:tc>
          <w:tcPr>
            <w:tcW w:w="2268" w:type="dxa"/>
            <w:tcBorders>
              <w:top w:val="single" w:sz="6" w:space="0" w:color="auto"/>
              <w:left w:val="single" w:sz="6" w:space="0" w:color="auto"/>
              <w:bottom w:val="single" w:sz="6" w:space="0" w:color="auto"/>
              <w:right w:val="single" w:sz="6" w:space="0" w:color="auto"/>
            </w:tcBorders>
            <w:hideMark/>
          </w:tcPr>
          <w:p w14:paraId="169CDC11"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HO89</w:t>
            </w:r>
          </w:p>
        </w:tc>
      </w:tr>
      <w:tr w:rsidR="00211D49" w14:paraId="4C00504B" w14:textId="77777777" w:rsidTr="00211D49">
        <w:trPr>
          <w:trHeight w:val="355"/>
        </w:trPr>
        <w:tc>
          <w:tcPr>
            <w:tcW w:w="5276" w:type="dxa"/>
            <w:tcBorders>
              <w:top w:val="single" w:sz="6" w:space="0" w:color="auto"/>
              <w:left w:val="single" w:sz="6" w:space="0" w:color="auto"/>
              <w:bottom w:val="single" w:sz="6" w:space="0" w:color="auto"/>
              <w:right w:val="single" w:sz="4" w:space="0" w:color="auto"/>
            </w:tcBorders>
            <w:hideMark/>
          </w:tcPr>
          <w:p w14:paraId="66C0F5C9" w14:textId="28494F1E" w:rsidR="00211D49" w:rsidRDefault="00211D49"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 Beach Street war memorial (Port Melbourne World War I Memorial, Beach Street, south side west of Bay Street)</w:t>
            </w:r>
          </w:p>
        </w:tc>
        <w:tc>
          <w:tcPr>
            <w:tcW w:w="1133" w:type="dxa"/>
            <w:tcBorders>
              <w:top w:val="single" w:sz="6" w:space="0" w:color="auto"/>
              <w:left w:val="single" w:sz="4" w:space="0" w:color="auto"/>
              <w:bottom w:val="single" w:sz="6" w:space="0" w:color="auto"/>
              <w:right w:val="single" w:sz="6" w:space="0" w:color="auto"/>
            </w:tcBorders>
          </w:tcPr>
          <w:p w14:paraId="7332E2FC" w14:textId="77777777" w:rsidR="00211D49" w:rsidRDefault="00211D49" w:rsidP="00EC7BD3">
            <w:pPr>
              <w:autoSpaceDE w:val="0"/>
              <w:autoSpaceDN w:val="0"/>
              <w:adjustRightInd w:val="0"/>
              <w:spacing w:after="0" w:line="240" w:lineRule="auto"/>
              <w:rPr>
                <w:rFonts w:ascii="Calibri" w:hAnsi="Calibri" w:cs="Calibri"/>
                <w:color w:val="000000"/>
              </w:rPr>
            </w:pPr>
          </w:p>
        </w:tc>
        <w:tc>
          <w:tcPr>
            <w:tcW w:w="2268" w:type="dxa"/>
            <w:tcBorders>
              <w:top w:val="single" w:sz="6" w:space="0" w:color="auto"/>
              <w:left w:val="single" w:sz="6" w:space="0" w:color="auto"/>
              <w:bottom w:val="single" w:sz="6" w:space="0" w:color="auto"/>
              <w:right w:val="single" w:sz="6" w:space="0" w:color="auto"/>
            </w:tcBorders>
            <w:hideMark/>
          </w:tcPr>
          <w:p w14:paraId="13A214B0" w14:textId="713AAE05" w:rsidR="00211D49" w:rsidRDefault="00211D49"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HO362</w:t>
            </w:r>
          </w:p>
        </w:tc>
      </w:tr>
      <w:tr w:rsidR="00EC7BD3" w14:paraId="6C57662E" w14:textId="77777777" w:rsidTr="00211D49">
        <w:trPr>
          <w:trHeight w:val="175"/>
        </w:trPr>
        <w:tc>
          <w:tcPr>
            <w:tcW w:w="5275" w:type="dxa"/>
            <w:tcBorders>
              <w:top w:val="single" w:sz="6" w:space="0" w:color="auto"/>
              <w:left w:val="single" w:sz="6" w:space="0" w:color="auto"/>
              <w:bottom w:val="single" w:sz="6" w:space="0" w:color="auto"/>
              <w:right w:val="single" w:sz="6" w:space="0" w:color="auto"/>
            </w:tcBorders>
            <w:hideMark/>
          </w:tcPr>
          <w:p w14:paraId="43153B77"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Bridport Street shops</w:t>
            </w:r>
          </w:p>
        </w:tc>
        <w:tc>
          <w:tcPr>
            <w:tcW w:w="1134" w:type="dxa"/>
            <w:tcBorders>
              <w:top w:val="single" w:sz="6" w:space="0" w:color="auto"/>
              <w:left w:val="single" w:sz="6" w:space="0" w:color="auto"/>
              <w:bottom w:val="single" w:sz="6" w:space="0" w:color="auto"/>
              <w:right w:val="single" w:sz="6" w:space="0" w:color="auto"/>
            </w:tcBorders>
          </w:tcPr>
          <w:p w14:paraId="2097257D" w14:textId="77777777" w:rsidR="00EC7BD3" w:rsidRDefault="00EC7BD3" w:rsidP="00EC7BD3">
            <w:pPr>
              <w:autoSpaceDE w:val="0"/>
              <w:autoSpaceDN w:val="0"/>
              <w:adjustRightInd w:val="0"/>
              <w:spacing w:after="0" w:line="240" w:lineRule="auto"/>
              <w:jc w:val="right"/>
              <w:rPr>
                <w:rFonts w:ascii="Calibri" w:hAnsi="Calibri" w:cs="Calibri"/>
                <w:color w:val="000000"/>
              </w:rPr>
            </w:pPr>
          </w:p>
        </w:tc>
        <w:tc>
          <w:tcPr>
            <w:tcW w:w="2268" w:type="dxa"/>
            <w:tcBorders>
              <w:top w:val="single" w:sz="6" w:space="0" w:color="auto"/>
              <w:left w:val="single" w:sz="6" w:space="0" w:color="auto"/>
              <w:bottom w:val="single" w:sz="6" w:space="0" w:color="auto"/>
              <w:right w:val="single" w:sz="6" w:space="0" w:color="auto"/>
            </w:tcBorders>
            <w:hideMark/>
          </w:tcPr>
          <w:p w14:paraId="6185FD68"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HO443</w:t>
            </w:r>
          </w:p>
        </w:tc>
      </w:tr>
      <w:tr w:rsidR="00EC7BD3" w14:paraId="21AD310F" w14:textId="77777777" w:rsidTr="00211D49">
        <w:trPr>
          <w:trHeight w:val="175"/>
        </w:trPr>
        <w:tc>
          <w:tcPr>
            <w:tcW w:w="5275" w:type="dxa"/>
            <w:tcBorders>
              <w:top w:val="single" w:sz="6" w:space="0" w:color="auto"/>
              <w:left w:val="single" w:sz="6" w:space="0" w:color="auto"/>
              <w:bottom w:val="single" w:sz="6" w:space="0" w:color="auto"/>
              <w:right w:val="single" w:sz="6" w:space="0" w:color="auto"/>
            </w:tcBorders>
            <w:hideMark/>
          </w:tcPr>
          <w:p w14:paraId="6FF7E606"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St Kilda Sea Baths</w:t>
            </w:r>
          </w:p>
        </w:tc>
        <w:tc>
          <w:tcPr>
            <w:tcW w:w="1134" w:type="dxa"/>
            <w:tcBorders>
              <w:top w:val="single" w:sz="6" w:space="0" w:color="auto"/>
              <w:left w:val="single" w:sz="6" w:space="0" w:color="auto"/>
              <w:bottom w:val="single" w:sz="6" w:space="0" w:color="auto"/>
              <w:right w:val="single" w:sz="6" w:space="0" w:color="auto"/>
            </w:tcBorders>
          </w:tcPr>
          <w:p w14:paraId="14406300" w14:textId="77777777" w:rsidR="00EC7BD3" w:rsidRDefault="00EC7BD3" w:rsidP="00EC7BD3">
            <w:pPr>
              <w:autoSpaceDE w:val="0"/>
              <w:autoSpaceDN w:val="0"/>
              <w:adjustRightInd w:val="0"/>
              <w:spacing w:after="0" w:line="240" w:lineRule="auto"/>
              <w:jc w:val="right"/>
              <w:rPr>
                <w:rFonts w:ascii="Calibri" w:hAnsi="Calibri" w:cs="Calibri"/>
                <w:color w:val="000000"/>
              </w:rPr>
            </w:pPr>
          </w:p>
        </w:tc>
        <w:tc>
          <w:tcPr>
            <w:tcW w:w="2268" w:type="dxa"/>
            <w:tcBorders>
              <w:top w:val="single" w:sz="6" w:space="0" w:color="auto"/>
              <w:left w:val="single" w:sz="6" w:space="0" w:color="auto"/>
              <w:bottom w:val="single" w:sz="6" w:space="0" w:color="auto"/>
              <w:right w:val="single" w:sz="6" w:space="0" w:color="auto"/>
            </w:tcBorders>
            <w:hideMark/>
          </w:tcPr>
          <w:p w14:paraId="0522C35B"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HO168</w:t>
            </w:r>
          </w:p>
        </w:tc>
      </w:tr>
      <w:tr w:rsidR="00EC7BD3" w14:paraId="513024E3" w14:textId="77777777" w:rsidTr="00211D49">
        <w:trPr>
          <w:trHeight w:val="175"/>
        </w:trPr>
        <w:tc>
          <w:tcPr>
            <w:tcW w:w="5275" w:type="dxa"/>
            <w:tcBorders>
              <w:top w:val="single" w:sz="6" w:space="0" w:color="auto"/>
              <w:left w:val="single" w:sz="6" w:space="0" w:color="auto"/>
              <w:bottom w:val="single" w:sz="6" w:space="0" w:color="auto"/>
              <w:right w:val="single" w:sz="6" w:space="0" w:color="auto"/>
            </w:tcBorders>
            <w:hideMark/>
          </w:tcPr>
          <w:p w14:paraId="0C3FCC5E"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Old Port Melbourne railway station and railway</w:t>
            </w:r>
          </w:p>
        </w:tc>
        <w:tc>
          <w:tcPr>
            <w:tcW w:w="1134" w:type="dxa"/>
            <w:tcBorders>
              <w:top w:val="single" w:sz="6" w:space="0" w:color="auto"/>
              <w:left w:val="single" w:sz="6" w:space="0" w:color="auto"/>
              <w:bottom w:val="single" w:sz="6" w:space="0" w:color="auto"/>
              <w:right w:val="single" w:sz="6" w:space="0" w:color="auto"/>
            </w:tcBorders>
            <w:hideMark/>
          </w:tcPr>
          <w:p w14:paraId="068FE34E"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H0983</w:t>
            </w:r>
          </w:p>
        </w:tc>
        <w:tc>
          <w:tcPr>
            <w:tcW w:w="2268" w:type="dxa"/>
            <w:tcBorders>
              <w:top w:val="single" w:sz="6" w:space="0" w:color="auto"/>
              <w:left w:val="single" w:sz="6" w:space="0" w:color="auto"/>
              <w:bottom w:val="single" w:sz="6" w:space="0" w:color="auto"/>
              <w:right w:val="single" w:sz="6" w:space="0" w:color="auto"/>
            </w:tcBorders>
            <w:hideMark/>
          </w:tcPr>
          <w:p w14:paraId="590FE0CE"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HO46</w:t>
            </w:r>
          </w:p>
        </w:tc>
      </w:tr>
      <w:tr w:rsidR="00EC7BD3" w14:paraId="1F0F3016" w14:textId="77777777" w:rsidTr="00211D49">
        <w:trPr>
          <w:trHeight w:val="175"/>
        </w:trPr>
        <w:tc>
          <w:tcPr>
            <w:tcW w:w="5275" w:type="dxa"/>
            <w:tcBorders>
              <w:top w:val="single" w:sz="6" w:space="0" w:color="auto"/>
              <w:left w:val="single" w:sz="6" w:space="0" w:color="auto"/>
              <w:bottom w:val="single" w:sz="6" w:space="0" w:color="auto"/>
              <w:right w:val="single" w:sz="6" w:space="0" w:color="auto"/>
            </w:tcBorders>
            <w:hideMark/>
          </w:tcPr>
          <w:p w14:paraId="3F040171"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Middle Park shops, Armstrong St</w:t>
            </w:r>
          </w:p>
        </w:tc>
        <w:tc>
          <w:tcPr>
            <w:tcW w:w="1134" w:type="dxa"/>
            <w:tcBorders>
              <w:top w:val="single" w:sz="6" w:space="0" w:color="auto"/>
              <w:left w:val="single" w:sz="6" w:space="0" w:color="auto"/>
              <w:bottom w:val="single" w:sz="6" w:space="0" w:color="auto"/>
              <w:right w:val="single" w:sz="6" w:space="0" w:color="auto"/>
            </w:tcBorders>
          </w:tcPr>
          <w:p w14:paraId="17B811E3" w14:textId="77777777" w:rsidR="00EC7BD3" w:rsidRDefault="00EC7BD3" w:rsidP="00EC7BD3">
            <w:pPr>
              <w:autoSpaceDE w:val="0"/>
              <w:autoSpaceDN w:val="0"/>
              <w:adjustRightInd w:val="0"/>
              <w:spacing w:after="0" w:line="240" w:lineRule="auto"/>
              <w:jc w:val="right"/>
              <w:rPr>
                <w:rFonts w:ascii="Calibri" w:hAnsi="Calibri" w:cs="Calibri"/>
                <w:color w:val="000000"/>
              </w:rPr>
            </w:pPr>
          </w:p>
        </w:tc>
        <w:tc>
          <w:tcPr>
            <w:tcW w:w="2268" w:type="dxa"/>
            <w:tcBorders>
              <w:top w:val="single" w:sz="6" w:space="0" w:color="auto"/>
              <w:left w:val="single" w:sz="6" w:space="0" w:color="auto"/>
              <w:bottom w:val="single" w:sz="6" w:space="0" w:color="auto"/>
              <w:right w:val="single" w:sz="6" w:space="0" w:color="auto"/>
            </w:tcBorders>
            <w:hideMark/>
          </w:tcPr>
          <w:p w14:paraId="0B92F009"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HO445</w:t>
            </w:r>
          </w:p>
        </w:tc>
      </w:tr>
      <w:tr w:rsidR="00EC7BD3" w14:paraId="1C679246" w14:textId="77777777" w:rsidTr="00211D49">
        <w:trPr>
          <w:trHeight w:val="175"/>
        </w:trPr>
        <w:tc>
          <w:tcPr>
            <w:tcW w:w="5275" w:type="dxa"/>
            <w:tcBorders>
              <w:top w:val="single" w:sz="6" w:space="0" w:color="auto"/>
              <w:left w:val="single" w:sz="6" w:space="0" w:color="auto"/>
              <w:bottom w:val="single" w:sz="6" w:space="0" w:color="auto"/>
              <w:right w:val="single" w:sz="6" w:space="0" w:color="auto"/>
            </w:tcBorders>
            <w:hideMark/>
          </w:tcPr>
          <w:p w14:paraId="24B472EB"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Emerald Hill Library</w:t>
            </w:r>
          </w:p>
        </w:tc>
        <w:tc>
          <w:tcPr>
            <w:tcW w:w="1134" w:type="dxa"/>
            <w:tcBorders>
              <w:top w:val="single" w:sz="6" w:space="0" w:color="auto"/>
              <w:left w:val="single" w:sz="6" w:space="0" w:color="auto"/>
              <w:bottom w:val="single" w:sz="6" w:space="0" w:color="auto"/>
              <w:right w:val="single" w:sz="6" w:space="0" w:color="auto"/>
            </w:tcBorders>
            <w:hideMark/>
          </w:tcPr>
          <w:p w14:paraId="39A95A51"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H1771</w:t>
            </w:r>
          </w:p>
        </w:tc>
        <w:tc>
          <w:tcPr>
            <w:tcW w:w="2268" w:type="dxa"/>
            <w:tcBorders>
              <w:top w:val="single" w:sz="6" w:space="0" w:color="auto"/>
              <w:left w:val="single" w:sz="6" w:space="0" w:color="auto"/>
              <w:bottom w:val="single" w:sz="6" w:space="0" w:color="auto"/>
              <w:right w:val="single" w:sz="6" w:space="0" w:color="auto"/>
            </w:tcBorders>
            <w:hideMark/>
          </w:tcPr>
          <w:p w14:paraId="30FAB110"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HO27</w:t>
            </w:r>
          </w:p>
        </w:tc>
      </w:tr>
      <w:tr w:rsidR="00EC7BD3" w14:paraId="7BF46CB6" w14:textId="77777777" w:rsidTr="00211D49">
        <w:trPr>
          <w:trHeight w:val="175"/>
        </w:trPr>
        <w:tc>
          <w:tcPr>
            <w:tcW w:w="5275" w:type="dxa"/>
            <w:tcBorders>
              <w:top w:val="single" w:sz="6" w:space="0" w:color="auto"/>
              <w:left w:val="single" w:sz="6" w:space="0" w:color="auto"/>
              <w:bottom w:val="single" w:sz="6" w:space="0" w:color="auto"/>
              <w:right w:val="single" w:sz="6" w:space="0" w:color="auto"/>
            </w:tcBorders>
            <w:hideMark/>
          </w:tcPr>
          <w:p w14:paraId="4C634AA4"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The Beacons/Beacon Park</w:t>
            </w:r>
          </w:p>
        </w:tc>
        <w:tc>
          <w:tcPr>
            <w:tcW w:w="1134" w:type="dxa"/>
            <w:tcBorders>
              <w:top w:val="single" w:sz="6" w:space="0" w:color="auto"/>
              <w:left w:val="single" w:sz="6" w:space="0" w:color="auto"/>
              <w:bottom w:val="single" w:sz="6" w:space="0" w:color="auto"/>
              <w:right w:val="single" w:sz="6" w:space="0" w:color="auto"/>
            </w:tcBorders>
            <w:hideMark/>
          </w:tcPr>
          <w:p w14:paraId="18334CCC"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H0982</w:t>
            </w:r>
          </w:p>
        </w:tc>
        <w:tc>
          <w:tcPr>
            <w:tcW w:w="2268" w:type="dxa"/>
            <w:tcBorders>
              <w:top w:val="single" w:sz="6" w:space="0" w:color="auto"/>
              <w:left w:val="single" w:sz="6" w:space="0" w:color="auto"/>
              <w:bottom w:val="single" w:sz="6" w:space="0" w:color="auto"/>
              <w:right w:val="single" w:sz="6" w:space="0" w:color="auto"/>
            </w:tcBorders>
            <w:hideMark/>
          </w:tcPr>
          <w:p w14:paraId="0315F213"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HO44 covers Beacon not park</w:t>
            </w:r>
          </w:p>
        </w:tc>
      </w:tr>
      <w:tr w:rsidR="00EC7BD3" w14:paraId="2A915098" w14:textId="77777777" w:rsidTr="00211D49">
        <w:trPr>
          <w:trHeight w:val="355"/>
        </w:trPr>
        <w:tc>
          <w:tcPr>
            <w:tcW w:w="5275" w:type="dxa"/>
            <w:tcBorders>
              <w:top w:val="single" w:sz="6" w:space="0" w:color="auto"/>
              <w:left w:val="single" w:sz="6" w:space="0" w:color="auto"/>
              <w:bottom w:val="single" w:sz="6" w:space="0" w:color="auto"/>
              <w:right w:val="single" w:sz="6" w:space="0" w:color="auto"/>
            </w:tcBorders>
            <w:hideMark/>
          </w:tcPr>
          <w:p w14:paraId="6AFB6998"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Women’s Welcome Home Rotunda (pm0640), Band Rotunda, Beach Street, Port Melbourne</w:t>
            </w:r>
          </w:p>
        </w:tc>
        <w:tc>
          <w:tcPr>
            <w:tcW w:w="1134" w:type="dxa"/>
            <w:tcBorders>
              <w:top w:val="single" w:sz="6" w:space="0" w:color="auto"/>
              <w:left w:val="single" w:sz="6" w:space="0" w:color="auto"/>
              <w:bottom w:val="single" w:sz="6" w:space="0" w:color="auto"/>
              <w:right w:val="single" w:sz="6" w:space="0" w:color="auto"/>
            </w:tcBorders>
            <w:hideMark/>
          </w:tcPr>
          <w:p w14:paraId="4A0ED724"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H1735</w:t>
            </w:r>
          </w:p>
        </w:tc>
        <w:tc>
          <w:tcPr>
            <w:tcW w:w="2268" w:type="dxa"/>
            <w:tcBorders>
              <w:top w:val="single" w:sz="6" w:space="0" w:color="auto"/>
              <w:left w:val="single" w:sz="6" w:space="0" w:color="auto"/>
              <w:bottom w:val="single" w:sz="6" w:space="0" w:color="auto"/>
              <w:right w:val="single" w:sz="6" w:space="0" w:color="auto"/>
            </w:tcBorders>
            <w:hideMark/>
          </w:tcPr>
          <w:p w14:paraId="366061B6"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HO49</w:t>
            </w:r>
          </w:p>
        </w:tc>
      </w:tr>
      <w:tr w:rsidR="00EC7BD3" w14:paraId="28DCF5D6" w14:textId="77777777" w:rsidTr="00211D49">
        <w:trPr>
          <w:trHeight w:val="175"/>
        </w:trPr>
        <w:tc>
          <w:tcPr>
            <w:tcW w:w="5275" w:type="dxa"/>
            <w:tcBorders>
              <w:top w:val="single" w:sz="6" w:space="0" w:color="auto"/>
              <w:left w:val="single" w:sz="6" w:space="0" w:color="auto"/>
              <w:bottom w:val="single" w:sz="6" w:space="0" w:color="auto"/>
              <w:right w:val="single" w:sz="6" w:space="0" w:color="auto"/>
            </w:tcBorders>
            <w:hideMark/>
          </w:tcPr>
          <w:p w14:paraId="23CDAA04"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Sacred Heart Mission Church</w:t>
            </w:r>
          </w:p>
        </w:tc>
        <w:tc>
          <w:tcPr>
            <w:tcW w:w="1134" w:type="dxa"/>
            <w:tcBorders>
              <w:top w:val="single" w:sz="6" w:space="0" w:color="auto"/>
              <w:left w:val="single" w:sz="6" w:space="0" w:color="auto"/>
              <w:bottom w:val="single" w:sz="6" w:space="0" w:color="auto"/>
              <w:right w:val="single" w:sz="6" w:space="0" w:color="auto"/>
            </w:tcBorders>
            <w:hideMark/>
          </w:tcPr>
          <w:p w14:paraId="24002A48"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H1765</w:t>
            </w:r>
          </w:p>
        </w:tc>
        <w:tc>
          <w:tcPr>
            <w:tcW w:w="2268" w:type="dxa"/>
            <w:tcBorders>
              <w:top w:val="single" w:sz="6" w:space="0" w:color="auto"/>
              <w:left w:val="single" w:sz="6" w:space="0" w:color="auto"/>
              <w:bottom w:val="single" w:sz="6" w:space="0" w:color="auto"/>
              <w:right w:val="single" w:sz="6" w:space="0" w:color="auto"/>
            </w:tcBorders>
            <w:hideMark/>
          </w:tcPr>
          <w:p w14:paraId="3562C2EE"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HO146</w:t>
            </w:r>
          </w:p>
        </w:tc>
      </w:tr>
      <w:tr w:rsidR="00EC7BD3" w14:paraId="2231D5DE" w14:textId="77777777" w:rsidTr="00211D49">
        <w:trPr>
          <w:trHeight w:val="175"/>
        </w:trPr>
        <w:tc>
          <w:tcPr>
            <w:tcW w:w="5275" w:type="dxa"/>
            <w:tcBorders>
              <w:top w:val="single" w:sz="6" w:space="0" w:color="auto"/>
              <w:left w:val="single" w:sz="6" w:space="0" w:color="auto"/>
              <w:bottom w:val="single" w:sz="6" w:space="0" w:color="auto"/>
              <w:right w:val="single" w:sz="6" w:space="0" w:color="auto"/>
            </w:tcBorders>
            <w:hideMark/>
          </w:tcPr>
          <w:p w14:paraId="3FCFD042"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Victoria Avenue/Dundas Place shops</w:t>
            </w:r>
          </w:p>
        </w:tc>
        <w:tc>
          <w:tcPr>
            <w:tcW w:w="1134" w:type="dxa"/>
            <w:tcBorders>
              <w:top w:val="single" w:sz="6" w:space="0" w:color="auto"/>
              <w:left w:val="single" w:sz="6" w:space="0" w:color="auto"/>
              <w:bottom w:val="single" w:sz="6" w:space="0" w:color="auto"/>
              <w:right w:val="single" w:sz="6" w:space="0" w:color="auto"/>
            </w:tcBorders>
          </w:tcPr>
          <w:p w14:paraId="227552B0" w14:textId="77777777" w:rsidR="00EC7BD3" w:rsidRDefault="00EC7BD3" w:rsidP="00EC7BD3">
            <w:pPr>
              <w:autoSpaceDE w:val="0"/>
              <w:autoSpaceDN w:val="0"/>
              <w:adjustRightInd w:val="0"/>
              <w:spacing w:after="0" w:line="240" w:lineRule="auto"/>
              <w:jc w:val="right"/>
              <w:rPr>
                <w:rFonts w:ascii="Calibri" w:hAnsi="Calibri" w:cs="Calibri"/>
                <w:color w:val="000000"/>
              </w:rPr>
            </w:pPr>
          </w:p>
        </w:tc>
        <w:tc>
          <w:tcPr>
            <w:tcW w:w="2268" w:type="dxa"/>
            <w:tcBorders>
              <w:top w:val="single" w:sz="6" w:space="0" w:color="auto"/>
              <w:left w:val="single" w:sz="6" w:space="0" w:color="auto"/>
              <w:bottom w:val="single" w:sz="6" w:space="0" w:color="auto"/>
              <w:right w:val="single" w:sz="6" w:space="0" w:color="auto"/>
            </w:tcBorders>
            <w:hideMark/>
          </w:tcPr>
          <w:p w14:paraId="09F1F432"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HO443</w:t>
            </w:r>
          </w:p>
        </w:tc>
      </w:tr>
      <w:tr w:rsidR="00EC7BD3" w14:paraId="125B3BB3" w14:textId="77777777" w:rsidTr="00211D49">
        <w:trPr>
          <w:trHeight w:val="175"/>
        </w:trPr>
        <w:tc>
          <w:tcPr>
            <w:tcW w:w="5275" w:type="dxa"/>
            <w:tcBorders>
              <w:top w:val="single" w:sz="6" w:space="0" w:color="auto"/>
              <w:left w:val="single" w:sz="6" w:space="0" w:color="auto"/>
              <w:bottom w:val="single" w:sz="6" w:space="0" w:color="auto"/>
              <w:right w:val="single" w:sz="6" w:space="0" w:color="auto"/>
            </w:tcBorders>
            <w:hideMark/>
          </w:tcPr>
          <w:p w14:paraId="6CE665DC"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Port Melbourne Yacht Club</w:t>
            </w:r>
          </w:p>
        </w:tc>
        <w:tc>
          <w:tcPr>
            <w:tcW w:w="1134" w:type="dxa"/>
            <w:tcBorders>
              <w:top w:val="single" w:sz="6" w:space="0" w:color="auto"/>
              <w:left w:val="single" w:sz="6" w:space="0" w:color="auto"/>
              <w:bottom w:val="single" w:sz="6" w:space="0" w:color="auto"/>
              <w:right w:val="single" w:sz="6" w:space="0" w:color="auto"/>
            </w:tcBorders>
          </w:tcPr>
          <w:p w14:paraId="5DDE9C4F" w14:textId="77777777" w:rsidR="00EC7BD3" w:rsidRDefault="00EC7BD3" w:rsidP="00EC7BD3">
            <w:pPr>
              <w:autoSpaceDE w:val="0"/>
              <w:autoSpaceDN w:val="0"/>
              <w:adjustRightInd w:val="0"/>
              <w:spacing w:after="0" w:line="240" w:lineRule="auto"/>
              <w:jc w:val="right"/>
              <w:rPr>
                <w:rFonts w:ascii="Calibri" w:hAnsi="Calibri" w:cs="Calibri"/>
                <w:color w:val="000000"/>
              </w:rPr>
            </w:pPr>
          </w:p>
        </w:tc>
        <w:tc>
          <w:tcPr>
            <w:tcW w:w="2268" w:type="dxa"/>
            <w:tcBorders>
              <w:top w:val="single" w:sz="6" w:space="0" w:color="auto"/>
              <w:left w:val="single" w:sz="6" w:space="0" w:color="auto"/>
              <w:bottom w:val="single" w:sz="6" w:space="0" w:color="auto"/>
              <w:right w:val="single" w:sz="6" w:space="0" w:color="auto"/>
            </w:tcBorders>
            <w:hideMark/>
          </w:tcPr>
          <w:p w14:paraId="401F7869"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HO52</w:t>
            </w:r>
          </w:p>
        </w:tc>
      </w:tr>
      <w:tr w:rsidR="00EC7BD3" w14:paraId="66BF31F5" w14:textId="77777777" w:rsidTr="00211D49">
        <w:trPr>
          <w:trHeight w:val="175"/>
        </w:trPr>
        <w:tc>
          <w:tcPr>
            <w:tcW w:w="5275" w:type="dxa"/>
            <w:tcBorders>
              <w:top w:val="single" w:sz="6" w:space="0" w:color="auto"/>
              <w:left w:val="single" w:sz="6" w:space="0" w:color="auto"/>
              <w:bottom w:val="single" w:sz="6" w:space="0" w:color="auto"/>
              <w:right w:val="single" w:sz="6" w:space="0" w:color="auto"/>
            </w:tcBorders>
            <w:hideMark/>
          </w:tcPr>
          <w:p w14:paraId="510DF68D"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Junction Oval, St Kilda Cricket Club</w:t>
            </w:r>
          </w:p>
        </w:tc>
        <w:tc>
          <w:tcPr>
            <w:tcW w:w="1134" w:type="dxa"/>
            <w:tcBorders>
              <w:top w:val="single" w:sz="6" w:space="0" w:color="auto"/>
              <w:left w:val="single" w:sz="6" w:space="0" w:color="auto"/>
              <w:bottom w:val="single" w:sz="6" w:space="0" w:color="auto"/>
              <w:right w:val="single" w:sz="6" w:space="0" w:color="auto"/>
            </w:tcBorders>
            <w:hideMark/>
          </w:tcPr>
          <w:p w14:paraId="1FB865BA"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H2234</w:t>
            </w:r>
          </w:p>
        </w:tc>
        <w:tc>
          <w:tcPr>
            <w:tcW w:w="2268" w:type="dxa"/>
            <w:tcBorders>
              <w:top w:val="single" w:sz="6" w:space="0" w:color="auto"/>
              <w:left w:val="single" w:sz="6" w:space="0" w:color="auto"/>
              <w:bottom w:val="single" w:sz="6" w:space="0" w:color="auto"/>
              <w:right w:val="single" w:sz="6" w:space="0" w:color="auto"/>
            </w:tcBorders>
            <w:hideMark/>
          </w:tcPr>
          <w:p w14:paraId="002356A2"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HO463</w:t>
            </w:r>
          </w:p>
        </w:tc>
      </w:tr>
      <w:tr w:rsidR="00EC7BD3" w14:paraId="0802FFEC" w14:textId="77777777" w:rsidTr="00211D49">
        <w:trPr>
          <w:trHeight w:val="175"/>
        </w:trPr>
        <w:tc>
          <w:tcPr>
            <w:tcW w:w="5275" w:type="dxa"/>
            <w:tcBorders>
              <w:top w:val="single" w:sz="6" w:space="0" w:color="auto"/>
              <w:left w:val="single" w:sz="6" w:space="0" w:color="auto"/>
              <w:bottom w:val="single" w:sz="6" w:space="0" w:color="auto"/>
              <w:right w:val="single" w:sz="6" w:space="0" w:color="auto"/>
            </w:tcBorders>
            <w:hideMark/>
          </w:tcPr>
          <w:p w14:paraId="4FEC6B2E"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Edward's Park</w:t>
            </w:r>
          </w:p>
        </w:tc>
        <w:tc>
          <w:tcPr>
            <w:tcW w:w="1134" w:type="dxa"/>
            <w:tcBorders>
              <w:top w:val="single" w:sz="6" w:space="0" w:color="auto"/>
              <w:left w:val="single" w:sz="6" w:space="0" w:color="auto"/>
              <w:bottom w:val="single" w:sz="6" w:space="0" w:color="auto"/>
              <w:right w:val="single" w:sz="6" w:space="0" w:color="auto"/>
            </w:tcBorders>
          </w:tcPr>
          <w:p w14:paraId="3BD8B082" w14:textId="77777777" w:rsidR="00EC7BD3" w:rsidRDefault="00EC7BD3" w:rsidP="00EC7BD3">
            <w:pPr>
              <w:autoSpaceDE w:val="0"/>
              <w:autoSpaceDN w:val="0"/>
              <w:adjustRightInd w:val="0"/>
              <w:spacing w:after="0" w:line="240" w:lineRule="auto"/>
              <w:jc w:val="right"/>
              <w:rPr>
                <w:rFonts w:ascii="Calibri" w:hAnsi="Calibri" w:cs="Calibri"/>
                <w:color w:val="000000"/>
              </w:rPr>
            </w:pPr>
          </w:p>
        </w:tc>
        <w:tc>
          <w:tcPr>
            <w:tcW w:w="2268" w:type="dxa"/>
            <w:tcBorders>
              <w:top w:val="single" w:sz="6" w:space="0" w:color="auto"/>
              <w:left w:val="single" w:sz="6" w:space="0" w:color="auto"/>
              <w:bottom w:val="single" w:sz="6" w:space="0" w:color="auto"/>
              <w:right w:val="single" w:sz="6" w:space="0" w:color="auto"/>
            </w:tcBorders>
            <w:hideMark/>
          </w:tcPr>
          <w:p w14:paraId="02F83B2E"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HO448</w:t>
            </w:r>
          </w:p>
        </w:tc>
      </w:tr>
      <w:tr w:rsidR="00EC7BD3" w14:paraId="0E69DD36" w14:textId="77777777" w:rsidTr="00211D49">
        <w:trPr>
          <w:trHeight w:val="175"/>
        </w:trPr>
        <w:tc>
          <w:tcPr>
            <w:tcW w:w="5275" w:type="dxa"/>
            <w:tcBorders>
              <w:top w:val="single" w:sz="6" w:space="0" w:color="auto"/>
              <w:left w:val="single" w:sz="6" w:space="0" w:color="auto"/>
              <w:bottom w:val="single" w:sz="6" w:space="0" w:color="auto"/>
              <w:right w:val="single" w:sz="6" w:space="0" w:color="auto"/>
            </w:tcBorders>
            <w:hideMark/>
          </w:tcPr>
          <w:p w14:paraId="7620BAA7"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Our Lady of Mount Carmel</w:t>
            </w:r>
          </w:p>
        </w:tc>
        <w:tc>
          <w:tcPr>
            <w:tcW w:w="1134" w:type="dxa"/>
            <w:tcBorders>
              <w:top w:val="single" w:sz="6" w:space="0" w:color="auto"/>
              <w:left w:val="single" w:sz="6" w:space="0" w:color="auto"/>
              <w:bottom w:val="single" w:sz="6" w:space="0" w:color="auto"/>
              <w:right w:val="single" w:sz="6" w:space="0" w:color="auto"/>
            </w:tcBorders>
          </w:tcPr>
          <w:p w14:paraId="60A59929" w14:textId="77777777" w:rsidR="00EC7BD3" w:rsidRDefault="00EC7BD3" w:rsidP="00EC7BD3">
            <w:pPr>
              <w:autoSpaceDE w:val="0"/>
              <w:autoSpaceDN w:val="0"/>
              <w:adjustRightInd w:val="0"/>
              <w:spacing w:after="0" w:line="240" w:lineRule="auto"/>
              <w:jc w:val="right"/>
              <w:rPr>
                <w:rFonts w:ascii="Calibri" w:hAnsi="Calibri" w:cs="Calibri"/>
                <w:color w:val="000000"/>
              </w:rPr>
            </w:pPr>
          </w:p>
        </w:tc>
        <w:tc>
          <w:tcPr>
            <w:tcW w:w="2268" w:type="dxa"/>
            <w:tcBorders>
              <w:top w:val="single" w:sz="6" w:space="0" w:color="auto"/>
              <w:left w:val="single" w:sz="6" w:space="0" w:color="auto"/>
              <w:bottom w:val="single" w:sz="6" w:space="0" w:color="auto"/>
              <w:right w:val="single" w:sz="6" w:space="0" w:color="auto"/>
            </w:tcBorders>
            <w:hideMark/>
          </w:tcPr>
          <w:p w14:paraId="4BF1983B"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HO238</w:t>
            </w:r>
          </w:p>
        </w:tc>
      </w:tr>
      <w:tr w:rsidR="00EC7BD3" w14:paraId="323F7870" w14:textId="77777777" w:rsidTr="00211D49">
        <w:trPr>
          <w:trHeight w:val="175"/>
        </w:trPr>
        <w:tc>
          <w:tcPr>
            <w:tcW w:w="5275" w:type="dxa"/>
            <w:tcBorders>
              <w:top w:val="single" w:sz="6" w:space="0" w:color="auto"/>
              <w:left w:val="single" w:sz="6" w:space="0" w:color="auto"/>
              <w:bottom w:val="single" w:sz="6" w:space="0" w:color="auto"/>
              <w:right w:val="single" w:sz="6" w:space="0" w:color="auto"/>
            </w:tcBorders>
            <w:hideMark/>
          </w:tcPr>
          <w:p w14:paraId="0E5828ED"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St Kilda War Memorial, Alfred Square</w:t>
            </w:r>
          </w:p>
        </w:tc>
        <w:tc>
          <w:tcPr>
            <w:tcW w:w="1134" w:type="dxa"/>
            <w:tcBorders>
              <w:top w:val="single" w:sz="6" w:space="0" w:color="auto"/>
              <w:left w:val="single" w:sz="6" w:space="0" w:color="auto"/>
              <w:bottom w:val="single" w:sz="6" w:space="0" w:color="auto"/>
              <w:right w:val="single" w:sz="6" w:space="0" w:color="auto"/>
            </w:tcBorders>
            <w:hideMark/>
          </w:tcPr>
          <w:p w14:paraId="6726CA70"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H1375</w:t>
            </w:r>
          </w:p>
        </w:tc>
        <w:tc>
          <w:tcPr>
            <w:tcW w:w="2268" w:type="dxa"/>
            <w:tcBorders>
              <w:top w:val="single" w:sz="6" w:space="0" w:color="auto"/>
              <w:left w:val="single" w:sz="6" w:space="0" w:color="auto"/>
              <w:bottom w:val="single" w:sz="6" w:space="0" w:color="auto"/>
              <w:right w:val="single" w:sz="6" w:space="0" w:color="auto"/>
            </w:tcBorders>
            <w:hideMark/>
          </w:tcPr>
          <w:p w14:paraId="56310952"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HO18</w:t>
            </w:r>
          </w:p>
        </w:tc>
      </w:tr>
      <w:tr w:rsidR="00EC7BD3" w14:paraId="1C630400" w14:textId="77777777" w:rsidTr="00211D49">
        <w:trPr>
          <w:trHeight w:val="175"/>
        </w:trPr>
        <w:tc>
          <w:tcPr>
            <w:tcW w:w="5275" w:type="dxa"/>
            <w:tcBorders>
              <w:top w:val="single" w:sz="6" w:space="0" w:color="auto"/>
              <w:left w:val="single" w:sz="6" w:space="0" w:color="auto"/>
              <w:bottom w:val="single" w:sz="6" w:space="0" w:color="auto"/>
              <w:right w:val="single" w:sz="6" w:space="0" w:color="auto"/>
            </w:tcBorders>
            <w:hideMark/>
          </w:tcPr>
          <w:p w14:paraId="47FC3EDF"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Christ Church, Acland Street</w:t>
            </w:r>
          </w:p>
        </w:tc>
        <w:tc>
          <w:tcPr>
            <w:tcW w:w="1134" w:type="dxa"/>
            <w:tcBorders>
              <w:top w:val="single" w:sz="6" w:space="0" w:color="auto"/>
              <w:left w:val="single" w:sz="6" w:space="0" w:color="auto"/>
              <w:bottom w:val="single" w:sz="6" w:space="0" w:color="auto"/>
              <w:right w:val="single" w:sz="6" w:space="0" w:color="auto"/>
            </w:tcBorders>
            <w:hideMark/>
          </w:tcPr>
          <w:p w14:paraId="3304D737"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H0996</w:t>
            </w:r>
          </w:p>
        </w:tc>
        <w:tc>
          <w:tcPr>
            <w:tcW w:w="2268" w:type="dxa"/>
            <w:tcBorders>
              <w:top w:val="single" w:sz="6" w:space="0" w:color="auto"/>
              <w:left w:val="single" w:sz="6" w:space="0" w:color="auto"/>
              <w:bottom w:val="single" w:sz="6" w:space="0" w:color="auto"/>
              <w:right w:val="single" w:sz="6" w:space="0" w:color="auto"/>
            </w:tcBorders>
            <w:hideMark/>
          </w:tcPr>
          <w:p w14:paraId="5BC12987"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HO9</w:t>
            </w:r>
          </w:p>
        </w:tc>
      </w:tr>
      <w:tr w:rsidR="00EC7BD3" w14:paraId="7BBDD104" w14:textId="77777777" w:rsidTr="00211D49">
        <w:trPr>
          <w:trHeight w:val="355"/>
        </w:trPr>
        <w:tc>
          <w:tcPr>
            <w:tcW w:w="5275" w:type="dxa"/>
            <w:tcBorders>
              <w:top w:val="single" w:sz="6" w:space="0" w:color="auto"/>
              <w:left w:val="single" w:sz="6" w:space="0" w:color="auto"/>
              <w:bottom w:val="single" w:sz="6" w:space="0" w:color="auto"/>
              <w:right w:val="single" w:sz="6" w:space="0" w:color="auto"/>
            </w:tcBorders>
            <w:hideMark/>
          </w:tcPr>
          <w:p w14:paraId="1D9D3351"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Law and order' precinct, Port Melbourne (including the courthouse and the colonial mail exchange, watch house and lock-up)</w:t>
            </w:r>
          </w:p>
        </w:tc>
        <w:tc>
          <w:tcPr>
            <w:tcW w:w="1134" w:type="dxa"/>
            <w:tcBorders>
              <w:top w:val="single" w:sz="6" w:space="0" w:color="auto"/>
              <w:left w:val="single" w:sz="6" w:space="0" w:color="auto"/>
              <w:bottom w:val="single" w:sz="6" w:space="0" w:color="auto"/>
              <w:right w:val="single" w:sz="6" w:space="0" w:color="auto"/>
            </w:tcBorders>
            <w:hideMark/>
          </w:tcPr>
          <w:p w14:paraId="32C6708F"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H1318</w:t>
            </w:r>
          </w:p>
        </w:tc>
        <w:tc>
          <w:tcPr>
            <w:tcW w:w="2268" w:type="dxa"/>
            <w:tcBorders>
              <w:top w:val="single" w:sz="6" w:space="0" w:color="auto"/>
              <w:left w:val="single" w:sz="6" w:space="0" w:color="auto"/>
              <w:bottom w:val="single" w:sz="6" w:space="0" w:color="auto"/>
              <w:right w:val="single" w:sz="6" w:space="0" w:color="auto"/>
            </w:tcBorders>
            <w:hideMark/>
          </w:tcPr>
          <w:p w14:paraId="01D8F864"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HO40</w:t>
            </w:r>
          </w:p>
        </w:tc>
      </w:tr>
      <w:tr w:rsidR="00EC7BD3" w14:paraId="2020C6B3" w14:textId="77777777" w:rsidTr="00211D49">
        <w:trPr>
          <w:trHeight w:val="355"/>
        </w:trPr>
        <w:tc>
          <w:tcPr>
            <w:tcW w:w="5275" w:type="dxa"/>
            <w:tcBorders>
              <w:top w:val="single" w:sz="6" w:space="0" w:color="auto"/>
              <w:left w:val="single" w:sz="6" w:space="0" w:color="auto"/>
              <w:bottom w:val="single" w:sz="6" w:space="0" w:color="auto"/>
              <w:right w:val="single" w:sz="6" w:space="0" w:color="auto"/>
            </w:tcBorders>
            <w:hideMark/>
          </w:tcPr>
          <w:p w14:paraId="3C088B9B"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Former Sandridge Post Office &amp; Naval Drill Hall (now Albert Park College campus)</w:t>
            </w:r>
          </w:p>
        </w:tc>
        <w:tc>
          <w:tcPr>
            <w:tcW w:w="1134" w:type="dxa"/>
            <w:tcBorders>
              <w:top w:val="single" w:sz="6" w:space="0" w:color="auto"/>
              <w:left w:val="single" w:sz="6" w:space="0" w:color="auto"/>
              <w:bottom w:val="single" w:sz="6" w:space="0" w:color="auto"/>
              <w:right w:val="single" w:sz="6" w:space="0" w:color="auto"/>
            </w:tcBorders>
            <w:hideMark/>
          </w:tcPr>
          <w:p w14:paraId="2EE07B2C"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H1378</w:t>
            </w:r>
          </w:p>
        </w:tc>
        <w:tc>
          <w:tcPr>
            <w:tcW w:w="2268" w:type="dxa"/>
            <w:tcBorders>
              <w:top w:val="single" w:sz="6" w:space="0" w:color="auto"/>
              <w:left w:val="single" w:sz="6" w:space="0" w:color="auto"/>
              <w:bottom w:val="single" w:sz="6" w:space="0" w:color="auto"/>
              <w:right w:val="single" w:sz="6" w:space="0" w:color="auto"/>
            </w:tcBorders>
            <w:hideMark/>
          </w:tcPr>
          <w:p w14:paraId="74E213DC"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HO39</w:t>
            </w:r>
          </w:p>
        </w:tc>
      </w:tr>
      <w:tr w:rsidR="00EC7BD3" w14:paraId="1B6A65CF" w14:textId="77777777" w:rsidTr="00211D49">
        <w:trPr>
          <w:trHeight w:val="175"/>
        </w:trPr>
        <w:tc>
          <w:tcPr>
            <w:tcW w:w="5275" w:type="dxa"/>
            <w:tcBorders>
              <w:top w:val="single" w:sz="6" w:space="0" w:color="auto"/>
              <w:left w:val="single" w:sz="6" w:space="0" w:color="auto"/>
              <w:bottom w:val="single" w:sz="6" w:space="0" w:color="auto"/>
              <w:right w:val="single" w:sz="6" w:space="0" w:color="auto"/>
            </w:tcBorders>
            <w:hideMark/>
          </w:tcPr>
          <w:p w14:paraId="24738A89"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The Biltmore Hotel, 152 Bridport St, Albert Park</w:t>
            </w:r>
          </w:p>
        </w:tc>
        <w:tc>
          <w:tcPr>
            <w:tcW w:w="1134" w:type="dxa"/>
            <w:tcBorders>
              <w:top w:val="single" w:sz="6" w:space="0" w:color="auto"/>
              <w:left w:val="single" w:sz="6" w:space="0" w:color="auto"/>
              <w:bottom w:val="single" w:sz="6" w:space="0" w:color="auto"/>
              <w:right w:val="single" w:sz="6" w:space="0" w:color="auto"/>
            </w:tcBorders>
            <w:hideMark/>
          </w:tcPr>
          <w:p w14:paraId="7F966482"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H475</w:t>
            </w:r>
          </w:p>
        </w:tc>
        <w:tc>
          <w:tcPr>
            <w:tcW w:w="2268" w:type="dxa"/>
            <w:tcBorders>
              <w:top w:val="single" w:sz="6" w:space="0" w:color="auto"/>
              <w:left w:val="single" w:sz="6" w:space="0" w:color="auto"/>
              <w:bottom w:val="single" w:sz="6" w:space="0" w:color="auto"/>
              <w:right w:val="single" w:sz="6" w:space="0" w:color="auto"/>
            </w:tcBorders>
            <w:hideMark/>
          </w:tcPr>
          <w:p w14:paraId="479ADF04"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HO62</w:t>
            </w:r>
          </w:p>
        </w:tc>
      </w:tr>
      <w:tr w:rsidR="00641F72" w14:paraId="39E83675" w14:textId="77777777" w:rsidTr="00211D49">
        <w:trPr>
          <w:trHeight w:val="398"/>
        </w:trPr>
        <w:tc>
          <w:tcPr>
            <w:tcW w:w="5275" w:type="dxa"/>
            <w:tcBorders>
              <w:top w:val="single" w:sz="6" w:space="0" w:color="auto"/>
              <w:left w:val="single" w:sz="6" w:space="0" w:color="auto"/>
              <w:bottom w:val="single" w:sz="6" w:space="0" w:color="auto"/>
              <w:right w:val="single" w:sz="4" w:space="0" w:color="auto"/>
            </w:tcBorders>
            <w:hideMark/>
          </w:tcPr>
          <w:p w14:paraId="5BD0895E" w14:textId="77777777" w:rsidR="00641F72" w:rsidRDefault="00641F72"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Maskell &amp; McNabb Railway Accident Memorial (pm0639), Beach Street, Port Melbourne</w:t>
            </w:r>
          </w:p>
        </w:tc>
        <w:tc>
          <w:tcPr>
            <w:tcW w:w="1134" w:type="dxa"/>
            <w:tcBorders>
              <w:top w:val="single" w:sz="6" w:space="0" w:color="auto"/>
              <w:left w:val="single" w:sz="4" w:space="0" w:color="auto"/>
              <w:bottom w:val="single" w:sz="6" w:space="0" w:color="auto"/>
              <w:right w:val="single" w:sz="6" w:space="0" w:color="auto"/>
            </w:tcBorders>
          </w:tcPr>
          <w:p w14:paraId="3F700882" w14:textId="77777777" w:rsidR="00641F72" w:rsidRDefault="00641F72" w:rsidP="00EC7BD3">
            <w:pPr>
              <w:autoSpaceDE w:val="0"/>
              <w:autoSpaceDN w:val="0"/>
              <w:adjustRightInd w:val="0"/>
              <w:spacing w:after="0" w:line="240" w:lineRule="auto"/>
              <w:rPr>
                <w:rFonts w:ascii="Calibri" w:hAnsi="Calibri" w:cs="Calibri"/>
                <w:color w:val="000000"/>
              </w:rPr>
            </w:pPr>
          </w:p>
        </w:tc>
        <w:tc>
          <w:tcPr>
            <w:tcW w:w="2268" w:type="dxa"/>
            <w:tcBorders>
              <w:top w:val="single" w:sz="6" w:space="0" w:color="auto"/>
              <w:left w:val="single" w:sz="6" w:space="0" w:color="auto"/>
              <w:bottom w:val="single" w:sz="6" w:space="0" w:color="auto"/>
              <w:right w:val="single" w:sz="6" w:space="0" w:color="auto"/>
            </w:tcBorders>
            <w:hideMark/>
          </w:tcPr>
          <w:p w14:paraId="6A32CCD0" w14:textId="1751FD53" w:rsidR="00641F72" w:rsidRDefault="00641F72"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HO48</w:t>
            </w:r>
          </w:p>
        </w:tc>
      </w:tr>
      <w:tr w:rsidR="00EC7BD3" w14:paraId="1B346B7A" w14:textId="77777777" w:rsidTr="00211D49">
        <w:trPr>
          <w:trHeight w:val="175"/>
        </w:trPr>
        <w:tc>
          <w:tcPr>
            <w:tcW w:w="5275" w:type="dxa"/>
            <w:tcBorders>
              <w:top w:val="single" w:sz="6" w:space="0" w:color="auto"/>
              <w:left w:val="single" w:sz="6" w:space="0" w:color="auto"/>
              <w:bottom w:val="single" w:sz="6" w:space="0" w:color="auto"/>
              <w:right w:val="single" w:sz="4" w:space="0" w:color="auto"/>
            </w:tcBorders>
            <w:hideMark/>
          </w:tcPr>
          <w:p w14:paraId="1C7DF9C0"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Tolarno Hotel, 42 Fitzroy Street, St Kilda, including Mirka Mura murals </w:t>
            </w:r>
          </w:p>
        </w:tc>
        <w:tc>
          <w:tcPr>
            <w:tcW w:w="1134" w:type="dxa"/>
            <w:tcBorders>
              <w:top w:val="single" w:sz="6" w:space="0" w:color="auto"/>
              <w:left w:val="single" w:sz="4" w:space="0" w:color="auto"/>
              <w:bottom w:val="single" w:sz="6" w:space="0" w:color="auto"/>
              <w:right w:val="single" w:sz="6" w:space="0" w:color="auto"/>
            </w:tcBorders>
            <w:hideMark/>
          </w:tcPr>
          <w:p w14:paraId="27E30D06"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H2207</w:t>
            </w:r>
          </w:p>
        </w:tc>
        <w:tc>
          <w:tcPr>
            <w:tcW w:w="2268" w:type="dxa"/>
            <w:tcBorders>
              <w:top w:val="single" w:sz="6" w:space="0" w:color="auto"/>
              <w:left w:val="single" w:sz="6" w:space="0" w:color="auto"/>
              <w:bottom w:val="single" w:sz="6" w:space="0" w:color="auto"/>
              <w:right w:val="single" w:sz="6" w:space="0" w:color="auto"/>
            </w:tcBorders>
            <w:hideMark/>
          </w:tcPr>
          <w:p w14:paraId="4C776397"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HO126</w:t>
            </w:r>
          </w:p>
        </w:tc>
      </w:tr>
      <w:tr w:rsidR="00EC7BD3" w14:paraId="08FDEB78" w14:textId="77777777" w:rsidTr="00211D49">
        <w:trPr>
          <w:trHeight w:val="175"/>
        </w:trPr>
        <w:tc>
          <w:tcPr>
            <w:tcW w:w="5275" w:type="dxa"/>
            <w:tcBorders>
              <w:top w:val="single" w:sz="6" w:space="0" w:color="auto"/>
              <w:left w:val="single" w:sz="6" w:space="0" w:color="auto"/>
              <w:bottom w:val="single" w:sz="6" w:space="0" w:color="auto"/>
              <w:right w:val="single" w:sz="6" w:space="0" w:color="auto"/>
            </w:tcBorders>
            <w:hideMark/>
          </w:tcPr>
          <w:p w14:paraId="450BF612"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Ripponlea Train Station</w:t>
            </w:r>
          </w:p>
        </w:tc>
        <w:tc>
          <w:tcPr>
            <w:tcW w:w="1134" w:type="dxa"/>
            <w:tcBorders>
              <w:top w:val="single" w:sz="6" w:space="0" w:color="auto"/>
              <w:left w:val="single" w:sz="6" w:space="0" w:color="auto"/>
              <w:bottom w:val="single" w:sz="6" w:space="0" w:color="auto"/>
              <w:right w:val="single" w:sz="6" w:space="0" w:color="auto"/>
            </w:tcBorders>
            <w:hideMark/>
          </w:tcPr>
          <w:p w14:paraId="76EBE6B4"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H1588</w:t>
            </w:r>
          </w:p>
        </w:tc>
        <w:tc>
          <w:tcPr>
            <w:tcW w:w="2268" w:type="dxa"/>
            <w:tcBorders>
              <w:top w:val="single" w:sz="6" w:space="0" w:color="auto"/>
              <w:left w:val="single" w:sz="6" w:space="0" w:color="auto"/>
              <w:bottom w:val="single" w:sz="6" w:space="0" w:color="auto"/>
              <w:right w:val="single" w:sz="6" w:space="0" w:color="auto"/>
            </w:tcBorders>
            <w:hideMark/>
          </w:tcPr>
          <w:p w14:paraId="52FE833F"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HO137</w:t>
            </w:r>
          </w:p>
        </w:tc>
      </w:tr>
      <w:tr w:rsidR="00EC7BD3" w14:paraId="7F58CB84" w14:textId="77777777" w:rsidTr="00211D49">
        <w:trPr>
          <w:trHeight w:val="175"/>
        </w:trPr>
        <w:tc>
          <w:tcPr>
            <w:tcW w:w="5275" w:type="dxa"/>
            <w:tcBorders>
              <w:top w:val="single" w:sz="6" w:space="0" w:color="auto"/>
              <w:left w:val="single" w:sz="6" w:space="0" w:color="auto"/>
              <w:bottom w:val="single" w:sz="6" w:space="0" w:color="auto"/>
              <w:right w:val="single" w:sz="6" w:space="0" w:color="auto"/>
            </w:tcBorders>
            <w:hideMark/>
          </w:tcPr>
          <w:p w14:paraId="103F1D6F"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Centenary Bridge/pillar</w:t>
            </w:r>
          </w:p>
        </w:tc>
        <w:tc>
          <w:tcPr>
            <w:tcW w:w="1134" w:type="dxa"/>
            <w:tcBorders>
              <w:top w:val="single" w:sz="6" w:space="0" w:color="auto"/>
              <w:left w:val="single" w:sz="6" w:space="0" w:color="auto"/>
              <w:bottom w:val="single" w:sz="6" w:space="0" w:color="auto"/>
              <w:right w:val="single" w:sz="6" w:space="0" w:color="auto"/>
            </w:tcBorders>
          </w:tcPr>
          <w:p w14:paraId="6058DFB3" w14:textId="77777777" w:rsidR="00EC7BD3" w:rsidRDefault="00EC7BD3" w:rsidP="00EC7BD3">
            <w:pPr>
              <w:autoSpaceDE w:val="0"/>
              <w:autoSpaceDN w:val="0"/>
              <w:adjustRightInd w:val="0"/>
              <w:spacing w:after="0" w:line="240" w:lineRule="auto"/>
              <w:jc w:val="right"/>
              <w:rPr>
                <w:rFonts w:ascii="Calibri" w:hAnsi="Calibri" w:cs="Calibri"/>
                <w:color w:val="000000"/>
              </w:rPr>
            </w:pPr>
          </w:p>
        </w:tc>
        <w:tc>
          <w:tcPr>
            <w:tcW w:w="2268" w:type="dxa"/>
            <w:tcBorders>
              <w:top w:val="single" w:sz="6" w:space="0" w:color="auto"/>
              <w:left w:val="single" w:sz="6" w:space="0" w:color="auto"/>
              <w:bottom w:val="single" w:sz="6" w:space="0" w:color="auto"/>
              <w:right w:val="single" w:sz="6" w:space="0" w:color="auto"/>
            </w:tcBorders>
            <w:hideMark/>
          </w:tcPr>
          <w:p w14:paraId="4C8AAE98"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HO47</w:t>
            </w:r>
          </w:p>
        </w:tc>
      </w:tr>
      <w:tr w:rsidR="00EC7BD3" w14:paraId="2B015C1F" w14:textId="77777777" w:rsidTr="00211D49">
        <w:trPr>
          <w:trHeight w:val="175"/>
        </w:trPr>
        <w:tc>
          <w:tcPr>
            <w:tcW w:w="5275" w:type="dxa"/>
            <w:tcBorders>
              <w:top w:val="single" w:sz="6" w:space="0" w:color="auto"/>
              <w:left w:val="single" w:sz="6" w:space="0" w:color="auto"/>
              <w:bottom w:val="single" w:sz="6" w:space="0" w:color="auto"/>
              <w:right w:val="single" w:sz="6" w:space="0" w:color="auto"/>
            </w:tcBorders>
            <w:hideMark/>
          </w:tcPr>
          <w:p w14:paraId="0C84800A"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Portable iron houses in Coventry Street</w:t>
            </w:r>
          </w:p>
        </w:tc>
        <w:tc>
          <w:tcPr>
            <w:tcW w:w="1134" w:type="dxa"/>
            <w:tcBorders>
              <w:top w:val="single" w:sz="6" w:space="0" w:color="auto"/>
              <w:left w:val="single" w:sz="6" w:space="0" w:color="auto"/>
              <w:bottom w:val="single" w:sz="6" w:space="0" w:color="auto"/>
              <w:right w:val="single" w:sz="6" w:space="0" w:color="auto"/>
            </w:tcBorders>
            <w:hideMark/>
          </w:tcPr>
          <w:p w14:paraId="5230C77D"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H0220 and H1888</w:t>
            </w:r>
          </w:p>
        </w:tc>
        <w:tc>
          <w:tcPr>
            <w:tcW w:w="2268" w:type="dxa"/>
            <w:tcBorders>
              <w:top w:val="single" w:sz="6" w:space="0" w:color="auto"/>
              <w:left w:val="single" w:sz="6" w:space="0" w:color="auto"/>
              <w:bottom w:val="single" w:sz="6" w:space="0" w:color="auto"/>
              <w:right w:val="single" w:sz="6" w:space="0" w:color="auto"/>
            </w:tcBorders>
            <w:hideMark/>
          </w:tcPr>
          <w:p w14:paraId="3461E7AB"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HO458 and HO97</w:t>
            </w:r>
          </w:p>
        </w:tc>
      </w:tr>
      <w:tr w:rsidR="00EC7BD3" w14:paraId="67B64FF0" w14:textId="77777777" w:rsidTr="00211D49">
        <w:trPr>
          <w:trHeight w:val="175"/>
        </w:trPr>
        <w:tc>
          <w:tcPr>
            <w:tcW w:w="5275" w:type="dxa"/>
            <w:tcBorders>
              <w:top w:val="single" w:sz="6" w:space="0" w:color="auto"/>
              <w:left w:val="single" w:sz="6" w:space="0" w:color="auto"/>
              <w:bottom w:val="single" w:sz="6" w:space="0" w:color="auto"/>
              <w:right w:val="single" w:sz="6" w:space="0" w:color="auto"/>
            </w:tcBorders>
            <w:hideMark/>
          </w:tcPr>
          <w:p w14:paraId="6E37D24C"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Village Belle Hotel</w:t>
            </w:r>
          </w:p>
        </w:tc>
        <w:tc>
          <w:tcPr>
            <w:tcW w:w="1134" w:type="dxa"/>
            <w:tcBorders>
              <w:top w:val="single" w:sz="6" w:space="0" w:color="auto"/>
              <w:left w:val="single" w:sz="6" w:space="0" w:color="auto"/>
              <w:bottom w:val="single" w:sz="6" w:space="0" w:color="auto"/>
              <w:right w:val="single" w:sz="6" w:space="0" w:color="auto"/>
            </w:tcBorders>
          </w:tcPr>
          <w:p w14:paraId="6E8BA0EC" w14:textId="77777777" w:rsidR="00EC7BD3" w:rsidRDefault="00EC7BD3" w:rsidP="00EC7BD3">
            <w:pPr>
              <w:autoSpaceDE w:val="0"/>
              <w:autoSpaceDN w:val="0"/>
              <w:adjustRightInd w:val="0"/>
              <w:spacing w:after="0" w:line="240" w:lineRule="auto"/>
              <w:jc w:val="right"/>
              <w:rPr>
                <w:rFonts w:ascii="Calibri" w:hAnsi="Calibri" w:cs="Calibri"/>
                <w:color w:val="000000"/>
              </w:rPr>
            </w:pPr>
          </w:p>
        </w:tc>
        <w:tc>
          <w:tcPr>
            <w:tcW w:w="2268" w:type="dxa"/>
            <w:tcBorders>
              <w:top w:val="single" w:sz="6" w:space="0" w:color="auto"/>
              <w:left w:val="single" w:sz="6" w:space="0" w:color="auto"/>
              <w:bottom w:val="single" w:sz="6" w:space="0" w:color="auto"/>
              <w:right w:val="single" w:sz="6" w:space="0" w:color="auto"/>
            </w:tcBorders>
            <w:hideMark/>
          </w:tcPr>
          <w:p w14:paraId="7DA96C8D"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HO33</w:t>
            </w:r>
          </w:p>
        </w:tc>
      </w:tr>
      <w:tr w:rsidR="00EC7BD3" w14:paraId="22225179" w14:textId="77777777" w:rsidTr="00211D49">
        <w:trPr>
          <w:trHeight w:val="175"/>
        </w:trPr>
        <w:tc>
          <w:tcPr>
            <w:tcW w:w="5275" w:type="dxa"/>
            <w:tcBorders>
              <w:top w:val="single" w:sz="6" w:space="0" w:color="auto"/>
              <w:left w:val="single" w:sz="6" w:space="0" w:color="auto"/>
              <w:bottom w:val="single" w:sz="6" w:space="0" w:color="auto"/>
              <w:right w:val="single" w:sz="6" w:space="0" w:color="auto"/>
            </w:tcBorders>
            <w:hideMark/>
          </w:tcPr>
          <w:p w14:paraId="5825879F"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St Peter &amp; Paul's Catholic Church</w:t>
            </w:r>
          </w:p>
        </w:tc>
        <w:tc>
          <w:tcPr>
            <w:tcW w:w="1134" w:type="dxa"/>
            <w:tcBorders>
              <w:top w:val="single" w:sz="6" w:space="0" w:color="auto"/>
              <w:left w:val="single" w:sz="6" w:space="0" w:color="auto"/>
              <w:bottom w:val="single" w:sz="6" w:space="0" w:color="auto"/>
              <w:right w:val="single" w:sz="6" w:space="0" w:color="auto"/>
            </w:tcBorders>
          </w:tcPr>
          <w:p w14:paraId="32D0CC02" w14:textId="77777777" w:rsidR="00EC7BD3" w:rsidRDefault="00EC7BD3" w:rsidP="00EC7BD3">
            <w:pPr>
              <w:autoSpaceDE w:val="0"/>
              <w:autoSpaceDN w:val="0"/>
              <w:adjustRightInd w:val="0"/>
              <w:spacing w:after="0" w:line="240" w:lineRule="auto"/>
              <w:jc w:val="right"/>
              <w:rPr>
                <w:rFonts w:ascii="Calibri" w:hAnsi="Calibri" w:cs="Calibri"/>
                <w:color w:val="000000"/>
              </w:rPr>
            </w:pPr>
          </w:p>
        </w:tc>
        <w:tc>
          <w:tcPr>
            <w:tcW w:w="2268" w:type="dxa"/>
            <w:tcBorders>
              <w:top w:val="single" w:sz="6" w:space="0" w:color="auto"/>
              <w:left w:val="single" w:sz="6" w:space="0" w:color="auto"/>
              <w:bottom w:val="single" w:sz="6" w:space="0" w:color="auto"/>
              <w:right w:val="single" w:sz="6" w:space="0" w:color="auto"/>
            </w:tcBorders>
            <w:hideMark/>
          </w:tcPr>
          <w:p w14:paraId="0F2F3C20"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HO204</w:t>
            </w:r>
          </w:p>
        </w:tc>
      </w:tr>
      <w:tr w:rsidR="00EC7BD3" w14:paraId="5E32974A" w14:textId="77777777" w:rsidTr="00211D49">
        <w:trPr>
          <w:trHeight w:val="175"/>
        </w:trPr>
        <w:tc>
          <w:tcPr>
            <w:tcW w:w="5275" w:type="dxa"/>
            <w:tcBorders>
              <w:top w:val="single" w:sz="6" w:space="0" w:color="auto"/>
              <w:left w:val="single" w:sz="6" w:space="0" w:color="auto"/>
              <w:bottom w:val="single" w:sz="6" w:space="0" w:color="auto"/>
              <w:right w:val="single" w:sz="6" w:space="0" w:color="auto"/>
            </w:tcBorders>
            <w:hideMark/>
          </w:tcPr>
          <w:p w14:paraId="199C4B21"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St Kilda Lighthouse /beacon at St Kilda Marina</w:t>
            </w:r>
          </w:p>
        </w:tc>
        <w:tc>
          <w:tcPr>
            <w:tcW w:w="1134" w:type="dxa"/>
            <w:tcBorders>
              <w:top w:val="single" w:sz="6" w:space="0" w:color="auto"/>
              <w:left w:val="single" w:sz="6" w:space="0" w:color="auto"/>
              <w:bottom w:val="single" w:sz="6" w:space="0" w:color="auto"/>
              <w:right w:val="single" w:sz="6" w:space="0" w:color="auto"/>
            </w:tcBorders>
          </w:tcPr>
          <w:p w14:paraId="1BFADEFF" w14:textId="77777777" w:rsidR="00EC7BD3" w:rsidRDefault="00EC7BD3" w:rsidP="00EC7BD3">
            <w:pPr>
              <w:autoSpaceDE w:val="0"/>
              <w:autoSpaceDN w:val="0"/>
              <w:adjustRightInd w:val="0"/>
              <w:spacing w:after="0" w:line="240" w:lineRule="auto"/>
              <w:jc w:val="right"/>
              <w:rPr>
                <w:rFonts w:ascii="Calibri" w:hAnsi="Calibri" w:cs="Calibri"/>
                <w:color w:val="000000"/>
              </w:rPr>
            </w:pPr>
          </w:p>
        </w:tc>
        <w:tc>
          <w:tcPr>
            <w:tcW w:w="2268" w:type="dxa"/>
            <w:tcBorders>
              <w:top w:val="single" w:sz="6" w:space="0" w:color="auto"/>
              <w:left w:val="single" w:sz="6" w:space="0" w:color="auto"/>
              <w:bottom w:val="single" w:sz="6" w:space="0" w:color="auto"/>
              <w:right w:val="single" w:sz="6" w:space="0" w:color="auto"/>
            </w:tcBorders>
            <w:hideMark/>
          </w:tcPr>
          <w:p w14:paraId="0249A459"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HO187</w:t>
            </w:r>
          </w:p>
        </w:tc>
      </w:tr>
      <w:tr w:rsidR="00EC7BD3" w14:paraId="6C4D3906" w14:textId="77777777" w:rsidTr="00211D49">
        <w:trPr>
          <w:trHeight w:val="175"/>
        </w:trPr>
        <w:tc>
          <w:tcPr>
            <w:tcW w:w="5275" w:type="dxa"/>
            <w:tcBorders>
              <w:top w:val="single" w:sz="6" w:space="0" w:color="auto"/>
              <w:left w:val="single" w:sz="6" w:space="0" w:color="auto"/>
              <w:bottom w:val="single" w:sz="6" w:space="0" w:color="auto"/>
              <w:right w:val="single" w:sz="4" w:space="0" w:color="auto"/>
            </w:tcBorders>
            <w:hideMark/>
          </w:tcPr>
          <w:p w14:paraId="55E2CB20"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Jerry's Milk Bar</w:t>
            </w:r>
          </w:p>
        </w:tc>
        <w:tc>
          <w:tcPr>
            <w:tcW w:w="1134" w:type="dxa"/>
            <w:tcBorders>
              <w:top w:val="single" w:sz="6" w:space="0" w:color="auto"/>
              <w:left w:val="single" w:sz="4" w:space="0" w:color="auto"/>
              <w:bottom w:val="single" w:sz="6" w:space="0" w:color="auto"/>
              <w:right w:val="single" w:sz="6" w:space="0" w:color="auto"/>
            </w:tcBorders>
          </w:tcPr>
          <w:p w14:paraId="789761EA" w14:textId="77777777" w:rsidR="00EC7BD3" w:rsidRDefault="00EC7BD3" w:rsidP="00EC7BD3">
            <w:pPr>
              <w:autoSpaceDE w:val="0"/>
              <w:autoSpaceDN w:val="0"/>
              <w:adjustRightInd w:val="0"/>
              <w:spacing w:after="0" w:line="240" w:lineRule="auto"/>
              <w:jc w:val="right"/>
              <w:rPr>
                <w:rFonts w:ascii="Calibri" w:hAnsi="Calibri" w:cs="Calibri"/>
                <w:color w:val="000000"/>
              </w:rPr>
            </w:pPr>
          </w:p>
        </w:tc>
        <w:tc>
          <w:tcPr>
            <w:tcW w:w="2268" w:type="dxa"/>
            <w:tcBorders>
              <w:top w:val="single" w:sz="6" w:space="0" w:color="auto"/>
              <w:left w:val="single" w:sz="6" w:space="0" w:color="auto"/>
              <w:bottom w:val="single" w:sz="6" w:space="0" w:color="auto"/>
              <w:right w:val="single" w:sz="6" w:space="0" w:color="auto"/>
            </w:tcBorders>
            <w:hideMark/>
          </w:tcPr>
          <w:p w14:paraId="62943F4C"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HO409</w:t>
            </w:r>
          </w:p>
        </w:tc>
      </w:tr>
      <w:tr w:rsidR="00211D49" w14:paraId="119E3819" w14:textId="77777777" w:rsidTr="00211D49">
        <w:trPr>
          <w:trHeight w:val="355"/>
        </w:trPr>
        <w:tc>
          <w:tcPr>
            <w:tcW w:w="5275" w:type="dxa"/>
            <w:tcBorders>
              <w:top w:val="single" w:sz="6" w:space="0" w:color="auto"/>
              <w:left w:val="single" w:sz="6" w:space="0" w:color="auto"/>
              <w:bottom w:val="single" w:sz="6" w:space="0" w:color="auto"/>
              <w:right w:val="single" w:sz="4" w:space="0" w:color="auto"/>
            </w:tcBorders>
            <w:hideMark/>
          </w:tcPr>
          <w:p w14:paraId="69918307" w14:textId="2556780F" w:rsidR="00211D49" w:rsidRDefault="00211D49"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lastRenderedPageBreak/>
              <w:t xml:space="preserve"> Elwood St Kilda Neighbourhood Learning Centre and Gardens, 'Glanfell', 87 Tennyson St, Elwood</w:t>
            </w:r>
          </w:p>
        </w:tc>
        <w:tc>
          <w:tcPr>
            <w:tcW w:w="1134" w:type="dxa"/>
            <w:tcBorders>
              <w:top w:val="single" w:sz="6" w:space="0" w:color="auto"/>
              <w:left w:val="single" w:sz="4" w:space="0" w:color="auto"/>
              <w:bottom w:val="single" w:sz="6" w:space="0" w:color="auto"/>
              <w:right w:val="single" w:sz="6" w:space="0" w:color="auto"/>
            </w:tcBorders>
          </w:tcPr>
          <w:p w14:paraId="36B0D322" w14:textId="77777777" w:rsidR="00211D49" w:rsidRDefault="00211D49" w:rsidP="00EC7BD3">
            <w:pPr>
              <w:autoSpaceDE w:val="0"/>
              <w:autoSpaceDN w:val="0"/>
              <w:adjustRightInd w:val="0"/>
              <w:spacing w:after="0" w:line="240" w:lineRule="auto"/>
              <w:rPr>
                <w:rFonts w:ascii="Calibri" w:hAnsi="Calibri" w:cs="Calibri"/>
                <w:color w:val="000000"/>
              </w:rPr>
            </w:pPr>
          </w:p>
        </w:tc>
        <w:tc>
          <w:tcPr>
            <w:tcW w:w="2268" w:type="dxa"/>
            <w:tcBorders>
              <w:top w:val="single" w:sz="6" w:space="0" w:color="auto"/>
              <w:left w:val="single" w:sz="6" w:space="0" w:color="auto"/>
              <w:bottom w:val="single" w:sz="6" w:space="0" w:color="auto"/>
              <w:right w:val="single" w:sz="6" w:space="0" w:color="auto"/>
            </w:tcBorders>
            <w:hideMark/>
          </w:tcPr>
          <w:p w14:paraId="0E5C9A75" w14:textId="31AC366D" w:rsidR="00211D49" w:rsidRDefault="00211D49"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HO270</w:t>
            </w:r>
          </w:p>
        </w:tc>
      </w:tr>
      <w:tr w:rsidR="00EC7BD3" w14:paraId="6AA9686E" w14:textId="77777777" w:rsidTr="00211D49">
        <w:trPr>
          <w:trHeight w:val="175"/>
        </w:trPr>
        <w:tc>
          <w:tcPr>
            <w:tcW w:w="5275" w:type="dxa"/>
            <w:tcBorders>
              <w:top w:val="single" w:sz="6" w:space="0" w:color="auto"/>
              <w:left w:val="single" w:sz="6" w:space="0" w:color="auto"/>
              <w:bottom w:val="single" w:sz="6" w:space="0" w:color="auto"/>
              <w:right w:val="single" w:sz="6" w:space="0" w:color="auto"/>
            </w:tcBorders>
            <w:hideMark/>
          </w:tcPr>
          <w:p w14:paraId="7DDAD665"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All Saints Church, Chapel Street</w:t>
            </w:r>
          </w:p>
        </w:tc>
        <w:tc>
          <w:tcPr>
            <w:tcW w:w="1134" w:type="dxa"/>
            <w:tcBorders>
              <w:top w:val="single" w:sz="6" w:space="0" w:color="auto"/>
              <w:left w:val="single" w:sz="6" w:space="0" w:color="auto"/>
              <w:bottom w:val="single" w:sz="6" w:space="0" w:color="auto"/>
              <w:right w:val="single" w:sz="6" w:space="0" w:color="auto"/>
            </w:tcBorders>
            <w:hideMark/>
          </w:tcPr>
          <w:p w14:paraId="4F5FCD30"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H1364</w:t>
            </w:r>
          </w:p>
        </w:tc>
        <w:tc>
          <w:tcPr>
            <w:tcW w:w="2268" w:type="dxa"/>
            <w:tcBorders>
              <w:top w:val="single" w:sz="6" w:space="0" w:color="auto"/>
              <w:left w:val="single" w:sz="6" w:space="0" w:color="auto"/>
              <w:bottom w:val="single" w:sz="6" w:space="0" w:color="auto"/>
              <w:right w:val="single" w:sz="6" w:space="0" w:color="auto"/>
            </w:tcBorders>
            <w:hideMark/>
          </w:tcPr>
          <w:p w14:paraId="294F84E1"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HO80</w:t>
            </w:r>
          </w:p>
        </w:tc>
      </w:tr>
      <w:tr w:rsidR="00EC7BD3" w14:paraId="3391B3A0" w14:textId="77777777" w:rsidTr="00211D49">
        <w:trPr>
          <w:trHeight w:val="175"/>
        </w:trPr>
        <w:tc>
          <w:tcPr>
            <w:tcW w:w="5275" w:type="dxa"/>
            <w:tcBorders>
              <w:top w:val="single" w:sz="6" w:space="0" w:color="auto"/>
              <w:left w:val="single" w:sz="6" w:space="0" w:color="auto"/>
              <w:bottom w:val="single" w:sz="6" w:space="0" w:color="auto"/>
              <w:right w:val="single" w:sz="6" w:space="0" w:color="auto"/>
            </w:tcBorders>
            <w:hideMark/>
          </w:tcPr>
          <w:p w14:paraId="001822C0"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Former Fire Station in Liardet Street, Port Melbourne</w:t>
            </w:r>
          </w:p>
        </w:tc>
        <w:tc>
          <w:tcPr>
            <w:tcW w:w="1134" w:type="dxa"/>
            <w:tcBorders>
              <w:top w:val="single" w:sz="6" w:space="0" w:color="auto"/>
              <w:left w:val="single" w:sz="6" w:space="0" w:color="auto"/>
              <w:bottom w:val="single" w:sz="6" w:space="0" w:color="auto"/>
              <w:right w:val="single" w:sz="6" w:space="0" w:color="auto"/>
            </w:tcBorders>
          </w:tcPr>
          <w:p w14:paraId="38F9CA9C" w14:textId="77777777" w:rsidR="00EC7BD3" w:rsidRDefault="00EC7BD3" w:rsidP="00EC7BD3">
            <w:pPr>
              <w:autoSpaceDE w:val="0"/>
              <w:autoSpaceDN w:val="0"/>
              <w:adjustRightInd w:val="0"/>
              <w:spacing w:after="0" w:line="240" w:lineRule="auto"/>
              <w:jc w:val="right"/>
              <w:rPr>
                <w:rFonts w:ascii="Calibri" w:hAnsi="Calibri" w:cs="Calibri"/>
                <w:color w:val="000000"/>
              </w:rPr>
            </w:pPr>
          </w:p>
        </w:tc>
        <w:tc>
          <w:tcPr>
            <w:tcW w:w="2268" w:type="dxa"/>
            <w:tcBorders>
              <w:top w:val="single" w:sz="6" w:space="0" w:color="auto"/>
              <w:left w:val="single" w:sz="6" w:space="0" w:color="auto"/>
              <w:bottom w:val="single" w:sz="6" w:space="0" w:color="auto"/>
              <w:right w:val="single" w:sz="6" w:space="0" w:color="auto"/>
            </w:tcBorders>
            <w:hideMark/>
          </w:tcPr>
          <w:p w14:paraId="61DE989D"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HO182</w:t>
            </w:r>
          </w:p>
        </w:tc>
      </w:tr>
      <w:tr w:rsidR="00EC7BD3" w14:paraId="1906540C" w14:textId="77777777" w:rsidTr="00211D49">
        <w:trPr>
          <w:trHeight w:val="175"/>
        </w:trPr>
        <w:tc>
          <w:tcPr>
            <w:tcW w:w="5275" w:type="dxa"/>
            <w:tcBorders>
              <w:top w:val="single" w:sz="6" w:space="0" w:color="auto"/>
              <w:left w:val="single" w:sz="6" w:space="0" w:color="auto"/>
              <w:bottom w:val="single" w:sz="6" w:space="0" w:color="auto"/>
              <w:right w:val="single" w:sz="6" w:space="0" w:color="auto"/>
            </w:tcBorders>
            <w:hideMark/>
          </w:tcPr>
          <w:p w14:paraId="77A4CCE0"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J. Kitchen Office, 164 Ingles St, Port Melbourne</w:t>
            </w:r>
          </w:p>
        </w:tc>
        <w:tc>
          <w:tcPr>
            <w:tcW w:w="1134" w:type="dxa"/>
            <w:tcBorders>
              <w:top w:val="single" w:sz="6" w:space="0" w:color="auto"/>
              <w:left w:val="single" w:sz="6" w:space="0" w:color="auto"/>
              <w:bottom w:val="single" w:sz="6" w:space="0" w:color="auto"/>
              <w:right w:val="single" w:sz="6" w:space="0" w:color="auto"/>
            </w:tcBorders>
          </w:tcPr>
          <w:p w14:paraId="08549FB8" w14:textId="77777777" w:rsidR="00EC7BD3" w:rsidRDefault="00EC7BD3" w:rsidP="00EC7BD3">
            <w:pPr>
              <w:autoSpaceDE w:val="0"/>
              <w:autoSpaceDN w:val="0"/>
              <w:adjustRightInd w:val="0"/>
              <w:spacing w:after="0" w:line="240" w:lineRule="auto"/>
              <w:jc w:val="right"/>
              <w:rPr>
                <w:rFonts w:ascii="Calibri" w:hAnsi="Calibri" w:cs="Calibri"/>
                <w:color w:val="000000"/>
              </w:rPr>
            </w:pPr>
          </w:p>
        </w:tc>
        <w:tc>
          <w:tcPr>
            <w:tcW w:w="2268" w:type="dxa"/>
            <w:tcBorders>
              <w:top w:val="single" w:sz="6" w:space="0" w:color="auto"/>
              <w:left w:val="single" w:sz="6" w:space="0" w:color="auto"/>
              <w:bottom w:val="single" w:sz="6" w:space="0" w:color="auto"/>
              <w:right w:val="single" w:sz="6" w:space="0" w:color="auto"/>
            </w:tcBorders>
            <w:hideMark/>
          </w:tcPr>
          <w:p w14:paraId="31801084"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HO164</w:t>
            </w:r>
          </w:p>
        </w:tc>
      </w:tr>
      <w:tr w:rsidR="00EC7BD3" w14:paraId="05D1E4F1" w14:textId="77777777" w:rsidTr="00211D49">
        <w:trPr>
          <w:trHeight w:val="175"/>
        </w:trPr>
        <w:tc>
          <w:tcPr>
            <w:tcW w:w="5275" w:type="dxa"/>
            <w:tcBorders>
              <w:top w:val="single" w:sz="6" w:space="0" w:color="auto"/>
              <w:left w:val="single" w:sz="6" w:space="0" w:color="auto"/>
              <w:bottom w:val="single" w:sz="6" w:space="0" w:color="auto"/>
              <w:right w:val="single" w:sz="6" w:space="0" w:color="auto"/>
            </w:tcBorders>
            <w:hideMark/>
          </w:tcPr>
          <w:p w14:paraId="22D31DC3"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Morley's coal depot</w:t>
            </w:r>
          </w:p>
        </w:tc>
        <w:tc>
          <w:tcPr>
            <w:tcW w:w="1134" w:type="dxa"/>
            <w:tcBorders>
              <w:top w:val="single" w:sz="6" w:space="0" w:color="auto"/>
              <w:left w:val="single" w:sz="6" w:space="0" w:color="auto"/>
              <w:bottom w:val="single" w:sz="6" w:space="0" w:color="auto"/>
              <w:right w:val="single" w:sz="6" w:space="0" w:color="auto"/>
            </w:tcBorders>
          </w:tcPr>
          <w:p w14:paraId="18298DAC" w14:textId="77777777" w:rsidR="00EC7BD3" w:rsidRDefault="00EC7BD3" w:rsidP="00EC7BD3">
            <w:pPr>
              <w:autoSpaceDE w:val="0"/>
              <w:autoSpaceDN w:val="0"/>
              <w:adjustRightInd w:val="0"/>
              <w:spacing w:after="0" w:line="240" w:lineRule="auto"/>
              <w:jc w:val="right"/>
              <w:rPr>
                <w:rFonts w:ascii="Calibri" w:hAnsi="Calibri" w:cs="Calibri"/>
                <w:color w:val="000000"/>
              </w:rPr>
            </w:pPr>
          </w:p>
        </w:tc>
        <w:tc>
          <w:tcPr>
            <w:tcW w:w="2268" w:type="dxa"/>
            <w:tcBorders>
              <w:top w:val="single" w:sz="6" w:space="0" w:color="auto"/>
              <w:left w:val="single" w:sz="6" w:space="0" w:color="auto"/>
              <w:bottom w:val="single" w:sz="6" w:space="0" w:color="auto"/>
              <w:right w:val="single" w:sz="6" w:space="0" w:color="auto"/>
            </w:tcBorders>
            <w:hideMark/>
          </w:tcPr>
          <w:p w14:paraId="0D2CAC12"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HO38</w:t>
            </w:r>
          </w:p>
        </w:tc>
      </w:tr>
      <w:tr w:rsidR="00EC7BD3" w14:paraId="779E3F5A" w14:textId="77777777" w:rsidTr="00211D49">
        <w:trPr>
          <w:trHeight w:val="175"/>
        </w:trPr>
        <w:tc>
          <w:tcPr>
            <w:tcW w:w="5275" w:type="dxa"/>
            <w:tcBorders>
              <w:top w:val="single" w:sz="6" w:space="0" w:color="auto"/>
              <w:left w:val="single" w:sz="6" w:space="0" w:color="auto"/>
              <w:bottom w:val="single" w:sz="6" w:space="0" w:color="auto"/>
              <w:right w:val="single" w:sz="6" w:space="0" w:color="auto"/>
            </w:tcBorders>
            <w:hideMark/>
          </w:tcPr>
          <w:p w14:paraId="6048A014"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Pier Hotel, Port Melbourne</w:t>
            </w:r>
          </w:p>
        </w:tc>
        <w:tc>
          <w:tcPr>
            <w:tcW w:w="1134" w:type="dxa"/>
            <w:tcBorders>
              <w:top w:val="single" w:sz="6" w:space="0" w:color="auto"/>
              <w:left w:val="single" w:sz="6" w:space="0" w:color="auto"/>
              <w:bottom w:val="single" w:sz="6" w:space="0" w:color="auto"/>
              <w:right w:val="single" w:sz="6" w:space="0" w:color="auto"/>
            </w:tcBorders>
          </w:tcPr>
          <w:p w14:paraId="5D3217C0" w14:textId="77777777" w:rsidR="00EC7BD3" w:rsidRDefault="00EC7BD3" w:rsidP="00EC7BD3">
            <w:pPr>
              <w:autoSpaceDE w:val="0"/>
              <w:autoSpaceDN w:val="0"/>
              <w:adjustRightInd w:val="0"/>
              <w:spacing w:after="0" w:line="240" w:lineRule="auto"/>
              <w:jc w:val="right"/>
              <w:rPr>
                <w:rFonts w:ascii="Calibri" w:hAnsi="Calibri" w:cs="Calibri"/>
                <w:color w:val="000000"/>
              </w:rPr>
            </w:pPr>
          </w:p>
        </w:tc>
        <w:tc>
          <w:tcPr>
            <w:tcW w:w="2268" w:type="dxa"/>
            <w:tcBorders>
              <w:top w:val="single" w:sz="6" w:space="0" w:color="auto"/>
              <w:left w:val="single" w:sz="6" w:space="0" w:color="auto"/>
              <w:bottom w:val="single" w:sz="6" w:space="0" w:color="auto"/>
              <w:right w:val="single" w:sz="6" w:space="0" w:color="auto"/>
            </w:tcBorders>
            <w:hideMark/>
          </w:tcPr>
          <w:p w14:paraId="65C5FD96"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HO1, HO462</w:t>
            </w:r>
          </w:p>
        </w:tc>
      </w:tr>
      <w:tr w:rsidR="00EC7BD3" w14:paraId="618EB4F2" w14:textId="77777777" w:rsidTr="00211D49">
        <w:trPr>
          <w:trHeight w:val="175"/>
        </w:trPr>
        <w:tc>
          <w:tcPr>
            <w:tcW w:w="5275" w:type="dxa"/>
            <w:tcBorders>
              <w:top w:val="single" w:sz="6" w:space="0" w:color="auto"/>
              <w:left w:val="single" w:sz="6" w:space="0" w:color="auto"/>
              <w:bottom w:val="single" w:sz="6" w:space="0" w:color="auto"/>
              <w:right w:val="single" w:sz="6" w:space="0" w:color="auto"/>
            </w:tcBorders>
            <w:hideMark/>
          </w:tcPr>
          <w:p w14:paraId="0CF15410"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Summerland Mansions</w:t>
            </w:r>
          </w:p>
        </w:tc>
        <w:tc>
          <w:tcPr>
            <w:tcW w:w="1134" w:type="dxa"/>
            <w:tcBorders>
              <w:top w:val="single" w:sz="6" w:space="0" w:color="auto"/>
              <w:left w:val="single" w:sz="6" w:space="0" w:color="auto"/>
              <w:bottom w:val="single" w:sz="6" w:space="0" w:color="auto"/>
              <w:right w:val="single" w:sz="6" w:space="0" w:color="auto"/>
            </w:tcBorders>
            <w:hideMark/>
          </w:tcPr>
          <w:p w14:paraId="2132A0BD"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H1808</w:t>
            </w:r>
          </w:p>
        </w:tc>
        <w:tc>
          <w:tcPr>
            <w:tcW w:w="2268" w:type="dxa"/>
            <w:tcBorders>
              <w:top w:val="single" w:sz="6" w:space="0" w:color="auto"/>
              <w:left w:val="single" w:sz="6" w:space="0" w:color="auto"/>
              <w:bottom w:val="single" w:sz="6" w:space="0" w:color="auto"/>
              <w:right w:val="single" w:sz="6" w:space="0" w:color="auto"/>
            </w:tcBorders>
            <w:hideMark/>
          </w:tcPr>
          <w:p w14:paraId="2E4D2B9B"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HO345</w:t>
            </w:r>
          </w:p>
        </w:tc>
      </w:tr>
      <w:tr w:rsidR="00EC7BD3" w14:paraId="56BD0B93" w14:textId="77777777" w:rsidTr="00211D49">
        <w:trPr>
          <w:trHeight w:val="175"/>
        </w:trPr>
        <w:tc>
          <w:tcPr>
            <w:tcW w:w="5275" w:type="dxa"/>
            <w:tcBorders>
              <w:top w:val="single" w:sz="6" w:space="0" w:color="auto"/>
              <w:left w:val="single" w:sz="6" w:space="0" w:color="auto"/>
              <w:bottom w:val="single" w:sz="6" w:space="0" w:color="auto"/>
              <w:right w:val="single" w:sz="6" w:space="0" w:color="auto"/>
            </w:tcBorders>
            <w:hideMark/>
          </w:tcPr>
          <w:p w14:paraId="3AC08760"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South Melbourne Post Office</w:t>
            </w:r>
          </w:p>
        </w:tc>
        <w:tc>
          <w:tcPr>
            <w:tcW w:w="1134" w:type="dxa"/>
            <w:tcBorders>
              <w:top w:val="single" w:sz="6" w:space="0" w:color="auto"/>
              <w:left w:val="single" w:sz="6" w:space="0" w:color="auto"/>
              <w:bottom w:val="single" w:sz="6" w:space="0" w:color="auto"/>
              <w:right w:val="single" w:sz="6" w:space="0" w:color="auto"/>
            </w:tcBorders>
            <w:hideMark/>
          </w:tcPr>
          <w:p w14:paraId="07163117"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H1771</w:t>
            </w:r>
          </w:p>
        </w:tc>
        <w:tc>
          <w:tcPr>
            <w:tcW w:w="2268" w:type="dxa"/>
            <w:tcBorders>
              <w:top w:val="single" w:sz="6" w:space="0" w:color="auto"/>
              <w:left w:val="single" w:sz="6" w:space="0" w:color="auto"/>
              <w:bottom w:val="single" w:sz="6" w:space="0" w:color="auto"/>
              <w:right w:val="single" w:sz="6" w:space="0" w:color="auto"/>
            </w:tcBorders>
            <w:hideMark/>
          </w:tcPr>
          <w:p w14:paraId="7965F035"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HO27</w:t>
            </w:r>
          </w:p>
        </w:tc>
      </w:tr>
      <w:tr w:rsidR="00EC7BD3" w14:paraId="5E295AAC" w14:textId="77777777" w:rsidTr="00211D49">
        <w:trPr>
          <w:trHeight w:val="175"/>
        </w:trPr>
        <w:tc>
          <w:tcPr>
            <w:tcW w:w="5275" w:type="dxa"/>
            <w:tcBorders>
              <w:top w:val="single" w:sz="6" w:space="0" w:color="auto"/>
              <w:left w:val="single" w:sz="6" w:space="0" w:color="auto"/>
              <w:bottom w:val="single" w:sz="6" w:space="0" w:color="auto"/>
              <w:right w:val="single" w:sz="6" w:space="0" w:color="auto"/>
            </w:tcBorders>
            <w:hideMark/>
          </w:tcPr>
          <w:p w14:paraId="2D71FD04"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2a Spray Street, Elwood</w:t>
            </w:r>
          </w:p>
        </w:tc>
        <w:tc>
          <w:tcPr>
            <w:tcW w:w="1134" w:type="dxa"/>
            <w:tcBorders>
              <w:top w:val="single" w:sz="6" w:space="0" w:color="auto"/>
              <w:left w:val="single" w:sz="6" w:space="0" w:color="auto"/>
              <w:bottom w:val="single" w:sz="6" w:space="0" w:color="auto"/>
              <w:right w:val="single" w:sz="6" w:space="0" w:color="auto"/>
            </w:tcBorders>
          </w:tcPr>
          <w:p w14:paraId="09044A8A" w14:textId="77777777" w:rsidR="00EC7BD3" w:rsidRDefault="00EC7BD3" w:rsidP="00EC7BD3">
            <w:pPr>
              <w:autoSpaceDE w:val="0"/>
              <w:autoSpaceDN w:val="0"/>
              <w:adjustRightInd w:val="0"/>
              <w:spacing w:after="0" w:line="240" w:lineRule="auto"/>
              <w:jc w:val="right"/>
              <w:rPr>
                <w:rFonts w:ascii="Calibri" w:hAnsi="Calibri" w:cs="Calibri"/>
                <w:color w:val="000000"/>
              </w:rPr>
            </w:pPr>
          </w:p>
        </w:tc>
        <w:tc>
          <w:tcPr>
            <w:tcW w:w="2268" w:type="dxa"/>
            <w:tcBorders>
              <w:top w:val="single" w:sz="6" w:space="0" w:color="auto"/>
              <w:left w:val="single" w:sz="6" w:space="0" w:color="auto"/>
              <w:bottom w:val="single" w:sz="6" w:space="0" w:color="auto"/>
              <w:right w:val="single" w:sz="6" w:space="0" w:color="auto"/>
            </w:tcBorders>
            <w:hideMark/>
          </w:tcPr>
          <w:p w14:paraId="04AC3992"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HO352</w:t>
            </w:r>
          </w:p>
        </w:tc>
      </w:tr>
      <w:tr w:rsidR="00EC7BD3" w14:paraId="5D03D6B4" w14:textId="77777777" w:rsidTr="00211D49">
        <w:trPr>
          <w:trHeight w:val="175"/>
        </w:trPr>
        <w:tc>
          <w:tcPr>
            <w:tcW w:w="5275" w:type="dxa"/>
            <w:tcBorders>
              <w:top w:val="single" w:sz="6" w:space="0" w:color="auto"/>
              <w:left w:val="single" w:sz="6" w:space="0" w:color="auto"/>
              <w:bottom w:val="single" w:sz="6" w:space="0" w:color="auto"/>
              <w:right w:val="single" w:sz="6" w:space="0" w:color="auto"/>
            </w:tcBorders>
            <w:hideMark/>
          </w:tcPr>
          <w:p w14:paraId="73886102"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ANZAC Cenotaph Beach and Bay Port Melbourne</w:t>
            </w:r>
          </w:p>
        </w:tc>
        <w:tc>
          <w:tcPr>
            <w:tcW w:w="1134" w:type="dxa"/>
            <w:tcBorders>
              <w:top w:val="single" w:sz="6" w:space="0" w:color="auto"/>
              <w:left w:val="single" w:sz="6" w:space="0" w:color="auto"/>
              <w:bottom w:val="single" w:sz="6" w:space="0" w:color="auto"/>
              <w:right w:val="single" w:sz="6" w:space="0" w:color="auto"/>
            </w:tcBorders>
          </w:tcPr>
          <w:p w14:paraId="51FE727A" w14:textId="77777777" w:rsidR="00EC7BD3" w:rsidRDefault="00EC7BD3" w:rsidP="00EC7BD3">
            <w:pPr>
              <w:autoSpaceDE w:val="0"/>
              <w:autoSpaceDN w:val="0"/>
              <w:adjustRightInd w:val="0"/>
              <w:spacing w:after="0" w:line="240" w:lineRule="auto"/>
              <w:jc w:val="right"/>
              <w:rPr>
                <w:rFonts w:ascii="Calibri" w:hAnsi="Calibri" w:cs="Calibri"/>
                <w:color w:val="000000"/>
              </w:rPr>
            </w:pPr>
          </w:p>
        </w:tc>
        <w:tc>
          <w:tcPr>
            <w:tcW w:w="2268" w:type="dxa"/>
            <w:tcBorders>
              <w:top w:val="single" w:sz="6" w:space="0" w:color="auto"/>
              <w:left w:val="single" w:sz="6" w:space="0" w:color="auto"/>
              <w:bottom w:val="single" w:sz="6" w:space="0" w:color="auto"/>
              <w:right w:val="single" w:sz="6" w:space="0" w:color="auto"/>
            </w:tcBorders>
            <w:hideMark/>
          </w:tcPr>
          <w:p w14:paraId="297A89C3"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HO362</w:t>
            </w:r>
          </w:p>
        </w:tc>
      </w:tr>
      <w:tr w:rsidR="00EC7BD3" w14:paraId="62D37607" w14:textId="77777777" w:rsidTr="00211D49">
        <w:trPr>
          <w:trHeight w:val="175"/>
        </w:trPr>
        <w:tc>
          <w:tcPr>
            <w:tcW w:w="5275" w:type="dxa"/>
            <w:tcBorders>
              <w:top w:val="single" w:sz="6" w:space="0" w:color="auto"/>
              <w:left w:val="single" w:sz="6" w:space="0" w:color="auto"/>
              <w:bottom w:val="single" w:sz="6" w:space="0" w:color="auto"/>
              <w:right w:val="single" w:sz="6" w:space="0" w:color="auto"/>
            </w:tcBorders>
            <w:hideMark/>
          </w:tcPr>
          <w:p w14:paraId="7750A190"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Cornerstones from Seamen's Missions, Beach, Port Melbourne</w:t>
            </w:r>
          </w:p>
        </w:tc>
        <w:tc>
          <w:tcPr>
            <w:tcW w:w="1134" w:type="dxa"/>
            <w:tcBorders>
              <w:top w:val="single" w:sz="6" w:space="0" w:color="auto"/>
              <w:left w:val="single" w:sz="6" w:space="0" w:color="auto"/>
              <w:bottom w:val="single" w:sz="6" w:space="0" w:color="auto"/>
              <w:right w:val="single" w:sz="6" w:space="0" w:color="auto"/>
            </w:tcBorders>
          </w:tcPr>
          <w:p w14:paraId="6B52F9E9" w14:textId="77777777" w:rsidR="00EC7BD3" w:rsidRDefault="00EC7BD3" w:rsidP="00EC7BD3">
            <w:pPr>
              <w:autoSpaceDE w:val="0"/>
              <w:autoSpaceDN w:val="0"/>
              <w:adjustRightInd w:val="0"/>
              <w:spacing w:after="0" w:line="240" w:lineRule="auto"/>
              <w:jc w:val="right"/>
              <w:rPr>
                <w:rFonts w:ascii="Calibri" w:hAnsi="Calibri" w:cs="Calibri"/>
                <w:color w:val="000000"/>
              </w:rPr>
            </w:pPr>
          </w:p>
        </w:tc>
        <w:tc>
          <w:tcPr>
            <w:tcW w:w="2268" w:type="dxa"/>
            <w:tcBorders>
              <w:top w:val="single" w:sz="6" w:space="0" w:color="auto"/>
              <w:left w:val="single" w:sz="6" w:space="0" w:color="auto"/>
              <w:bottom w:val="single" w:sz="6" w:space="0" w:color="auto"/>
              <w:right w:val="single" w:sz="6" w:space="0" w:color="auto"/>
            </w:tcBorders>
            <w:hideMark/>
          </w:tcPr>
          <w:p w14:paraId="694A4F5C"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HO464</w:t>
            </w:r>
          </w:p>
        </w:tc>
      </w:tr>
      <w:tr w:rsidR="00EC7BD3" w14:paraId="02D764DB" w14:textId="77777777" w:rsidTr="00211D49">
        <w:trPr>
          <w:trHeight w:val="175"/>
        </w:trPr>
        <w:tc>
          <w:tcPr>
            <w:tcW w:w="5275" w:type="dxa"/>
            <w:tcBorders>
              <w:top w:val="single" w:sz="6" w:space="0" w:color="auto"/>
              <w:left w:val="single" w:sz="6" w:space="0" w:color="auto"/>
              <w:bottom w:val="single" w:sz="6" w:space="0" w:color="auto"/>
              <w:right w:val="single" w:sz="6" w:space="0" w:color="auto"/>
            </w:tcBorders>
            <w:hideMark/>
          </w:tcPr>
          <w:p w14:paraId="6563E32D"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St Columba’s Church, 24-26 Glen Huntly Road, Elwood</w:t>
            </w:r>
          </w:p>
        </w:tc>
        <w:tc>
          <w:tcPr>
            <w:tcW w:w="1134" w:type="dxa"/>
            <w:tcBorders>
              <w:top w:val="single" w:sz="6" w:space="0" w:color="auto"/>
              <w:left w:val="single" w:sz="6" w:space="0" w:color="auto"/>
              <w:bottom w:val="single" w:sz="6" w:space="0" w:color="auto"/>
              <w:right w:val="single" w:sz="6" w:space="0" w:color="auto"/>
            </w:tcBorders>
          </w:tcPr>
          <w:p w14:paraId="440F201F" w14:textId="77777777" w:rsidR="00EC7BD3" w:rsidRDefault="00EC7BD3" w:rsidP="00EC7BD3">
            <w:pPr>
              <w:autoSpaceDE w:val="0"/>
              <w:autoSpaceDN w:val="0"/>
              <w:adjustRightInd w:val="0"/>
              <w:spacing w:after="0" w:line="240" w:lineRule="auto"/>
              <w:jc w:val="right"/>
              <w:rPr>
                <w:rFonts w:ascii="Calibri" w:hAnsi="Calibri" w:cs="Calibri"/>
                <w:color w:val="000000"/>
              </w:rPr>
            </w:pPr>
          </w:p>
        </w:tc>
        <w:tc>
          <w:tcPr>
            <w:tcW w:w="2268" w:type="dxa"/>
            <w:tcBorders>
              <w:top w:val="single" w:sz="6" w:space="0" w:color="auto"/>
              <w:left w:val="single" w:sz="6" w:space="0" w:color="auto"/>
              <w:bottom w:val="single" w:sz="6" w:space="0" w:color="auto"/>
              <w:right w:val="single" w:sz="6" w:space="0" w:color="auto"/>
            </w:tcBorders>
            <w:hideMark/>
          </w:tcPr>
          <w:p w14:paraId="135018E2"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HO219</w:t>
            </w:r>
          </w:p>
        </w:tc>
      </w:tr>
      <w:tr w:rsidR="00EC7BD3" w14:paraId="5D569F23" w14:textId="77777777" w:rsidTr="00211D49">
        <w:trPr>
          <w:trHeight w:val="175"/>
        </w:trPr>
        <w:tc>
          <w:tcPr>
            <w:tcW w:w="5275" w:type="dxa"/>
            <w:tcBorders>
              <w:top w:val="single" w:sz="6" w:space="0" w:color="auto"/>
              <w:left w:val="single" w:sz="6" w:space="0" w:color="auto"/>
              <w:bottom w:val="single" w:sz="6" w:space="0" w:color="auto"/>
              <w:right w:val="single" w:sz="6" w:space="0" w:color="auto"/>
            </w:tcBorders>
            <w:hideMark/>
          </w:tcPr>
          <w:p w14:paraId="1C44D55E"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Fountain Inn</w:t>
            </w:r>
          </w:p>
        </w:tc>
        <w:tc>
          <w:tcPr>
            <w:tcW w:w="1134" w:type="dxa"/>
            <w:tcBorders>
              <w:top w:val="single" w:sz="6" w:space="0" w:color="auto"/>
              <w:left w:val="single" w:sz="6" w:space="0" w:color="auto"/>
              <w:bottom w:val="single" w:sz="6" w:space="0" w:color="auto"/>
              <w:right w:val="single" w:sz="6" w:space="0" w:color="auto"/>
            </w:tcBorders>
          </w:tcPr>
          <w:p w14:paraId="17BA2649" w14:textId="77777777" w:rsidR="00EC7BD3" w:rsidRDefault="00EC7BD3" w:rsidP="00EC7BD3">
            <w:pPr>
              <w:autoSpaceDE w:val="0"/>
              <w:autoSpaceDN w:val="0"/>
              <w:adjustRightInd w:val="0"/>
              <w:spacing w:after="0" w:line="240" w:lineRule="auto"/>
              <w:jc w:val="right"/>
              <w:rPr>
                <w:rFonts w:ascii="Calibri" w:hAnsi="Calibri" w:cs="Calibri"/>
                <w:color w:val="000000"/>
              </w:rPr>
            </w:pPr>
          </w:p>
        </w:tc>
        <w:tc>
          <w:tcPr>
            <w:tcW w:w="2268" w:type="dxa"/>
            <w:tcBorders>
              <w:top w:val="single" w:sz="6" w:space="0" w:color="auto"/>
              <w:left w:val="single" w:sz="6" w:space="0" w:color="auto"/>
              <w:bottom w:val="single" w:sz="6" w:space="0" w:color="auto"/>
              <w:right w:val="single" w:sz="6" w:space="0" w:color="auto"/>
            </w:tcBorders>
            <w:hideMark/>
          </w:tcPr>
          <w:p w14:paraId="5B5B6C4D"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HO99</w:t>
            </w:r>
          </w:p>
        </w:tc>
      </w:tr>
      <w:tr w:rsidR="00EC7BD3" w14:paraId="54B1E543" w14:textId="77777777" w:rsidTr="00211D49">
        <w:trPr>
          <w:trHeight w:val="175"/>
        </w:trPr>
        <w:tc>
          <w:tcPr>
            <w:tcW w:w="5275" w:type="dxa"/>
            <w:tcBorders>
              <w:top w:val="single" w:sz="6" w:space="0" w:color="auto"/>
              <w:left w:val="single" w:sz="6" w:space="0" w:color="auto"/>
              <w:bottom w:val="single" w:sz="6" w:space="0" w:color="auto"/>
              <w:right w:val="single" w:sz="6" w:space="0" w:color="auto"/>
            </w:tcBorders>
            <w:hideMark/>
          </w:tcPr>
          <w:p w14:paraId="5F23E166"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Elwood Primary Market</w:t>
            </w:r>
          </w:p>
        </w:tc>
        <w:tc>
          <w:tcPr>
            <w:tcW w:w="1134" w:type="dxa"/>
            <w:tcBorders>
              <w:top w:val="single" w:sz="6" w:space="0" w:color="auto"/>
              <w:left w:val="single" w:sz="6" w:space="0" w:color="auto"/>
              <w:bottom w:val="single" w:sz="6" w:space="0" w:color="auto"/>
              <w:right w:val="single" w:sz="6" w:space="0" w:color="auto"/>
            </w:tcBorders>
          </w:tcPr>
          <w:p w14:paraId="7E8ADE2B" w14:textId="77777777" w:rsidR="00EC7BD3" w:rsidRDefault="00EC7BD3" w:rsidP="00EC7BD3">
            <w:pPr>
              <w:autoSpaceDE w:val="0"/>
              <w:autoSpaceDN w:val="0"/>
              <w:adjustRightInd w:val="0"/>
              <w:spacing w:after="0" w:line="240" w:lineRule="auto"/>
              <w:jc w:val="right"/>
              <w:rPr>
                <w:rFonts w:ascii="Calibri" w:hAnsi="Calibri" w:cs="Calibri"/>
                <w:color w:val="000000"/>
              </w:rPr>
            </w:pPr>
          </w:p>
        </w:tc>
        <w:tc>
          <w:tcPr>
            <w:tcW w:w="2268" w:type="dxa"/>
            <w:tcBorders>
              <w:top w:val="single" w:sz="6" w:space="0" w:color="auto"/>
              <w:left w:val="single" w:sz="6" w:space="0" w:color="auto"/>
              <w:bottom w:val="single" w:sz="6" w:space="0" w:color="auto"/>
              <w:right w:val="single" w:sz="6" w:space="0" w:color="auto"/>
            </w:tcBorders>
            <w:hideMark/>
          </w:tcPr>
          <w:p w14:paraId="307A08D7"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HO260</w:t>
            </w:r>
          </w:p>
        </w:tc>
      </w:tr>
      <w:tr w:rsidR="00EC7BD3" w14:paraId="2309896D" w14:textId="77777777" w:rsidTr="00211D49">
        <w:trPr>
          <w:trHeight w:val="175"/>
        </w:trPr>
        <w:tc>
          <w:tcPr>
            <w:tcW w:w="5275" w:type="dxa"/>
            <w:tcBorders>
              <w:top w:val="single" w:sz="6" w:space="0" w:color="auto"/>
              <w:left w:val="single" w:sz="6" w:space="0" w:color="auto"/>
              <w:bottom w:val="single" w:sz="6" w:space="0" w:color="auto"/>
              <w:right w:val="single" w:sz="6" w:space="0" w:color="auto"/>
            </w:tcBorders>
            <w:hideMark/>
          </w:tcPr>
          <w:p w14:paraId="47B52E48"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St Joseph's</w:t>
            </w:r>
          </w:p>
        </w:tc>
        <w:tc>
          <w:tcPr>
            <w:tcW w:w="1134" w:type="dxa"/>
            <w:tcBorders>
              <w:top w:val="single" w:sz="6" w:space="0" w:color="auto"/>
              <w:left w:val="single" w:sz="6" w:space="0" w:color="auto"/>
              <w:bottom w:val="single" w:sz="6" w:space="0" w:color="auto"/>
              <w:right w:val="single" w:sz="6" w:space="0" w:color="auto"/>
            </w:tcBorders>
          </w:tcPr>
          <w:p w14:paraId="0CBD4C10" w14:textId="77777777" w:rsidR="00EC7BD3" w:rsidRDefault="00EC7BD3" w:rsidP="00EC7BD3">
            <w:pPr>
              <w:autoSpaceDE w:val="0"/>
              <w:autoSpaceDN w:val="0"/>
              <w:adjustRightInd w:val="0"/>
              <w:spacing w:after="0" w:line="240" w:lineRule="auto"/>
              <w:jc w:val="right"/>
              <w:rPr>
                <w:rFonts w:ascii="Calibri" w:hAnsi="Calibri" w:cs="Calibri"/>
                <w:color w:val="000000"/>
              </w:rPr>
            </w:pPr>
          </w:p>
        </w:tc>
        <w:tc>
          <w:tcPr>
            <w:tcW w:w="2268" w:type="dxa"/>
            <w:tcBorders>
              <w:top w:val="single" w:sz="6" w:space="0" w:color="auto"/>
              <w:left w:val="single" w:sz="6" w:space="0" w:color="auto"/>
              <w:bottom w:val="single" w:sz="6" w:space="0" w:color="auto"/>
              <w:right w:val="single" w:sz="6" w:space="0" w:color="auto"/>
            </w:tcBorders>
            <w:hideMark/>
          </w:tcPr>
          <w:p w14:paraId="551BB55D"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HO243</w:t>
            </w:r>
          </w:p>
        </w:tc>
      </w:tr>
      <w:tr w:rsidR="00EC7BD3" w14:paraId="4BD7656B" w14:textId="77777777" w:rsidTr="00211D49">
        <w:trPr>
          <w:trHeight w:val="175"/>
        </w:trPr>
        <w:tc>
          <w:tcPr>
            <w:tcW w:w="5275" w:type="dxa"/>
            <w:tcBorders>
              <w:top w:val="single" w:sz="6" w:space="0" w:color="auto"/>
              <w:left w:val="single" w:sz="6" w:space="0" w:color="auto"/>
              <w:bottom w:val="single" w:sz="6" w:space="0" w:color="auto"/>
              <w:right w:val="single" w:sz="6" w:space="0" w:color="auto"/>
            </w:tcBorders>
            <w:hideMark/>
          </w:tcPr>
          <w:p w14:paraId="3FE9EFDE"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South Melbourne Uniting Church</w:t>
            </w:r>
          </w:p>
        </w:tc>
        <w:tc>
          <w:tcPr>
            <w:tcW w:w="1134" w:type="dxa"/>
            <w:tcBorders>
              <w:top w:val="single" w:sz="6" w:space="0" w:color="auto"/>
              <w:left w:val="single" w:sz="6" w:space="0" w:color="auto"/>
              <w:bottom w:val="single" w:sz="6" w:space="0" w:color="auto"/>
              <w:right w:val="single" w:sz="6" w:space="0" w:color="auto"/>
            </w:tcBorders>
          </w:tcPr>
          <w:p w14:paraId="0CA3E640" w14:textId="77777777" w:rsidR="00EC7BD3" w:rsidRDefault="00EC7BD3" w:rsidP="00EC7BD3">
            <w:pPr>
              <w:autoSpaceDE w:val="0"/>
              <w:autoSpaceDN w:val="0"/>
              <w:adjustRightInd w:val="0"/>
              <w:spacing w:after="0" w:line="240" w:lineRule="auto"/>
              <w:jc w:val="right"/>
              <w:rPr>
                <w:rFonts w:ascii="Calibri" w:hAnsi="Calibri" w:cs="Calibri"/>
                <w:color w:val="000000"/>
              </w:rPr>
            </w:pPr>
          </w:p>
        </w:tc>
        <w:tc>
          <w:tcPr>
            <w:tcW w:w="2268" w:type="dxa"/>
            <w:tcBorders>
              <w:top w:val="single" w:sz="6" w:space="0" w:color="auto"/>
              <w:left w:val="single" w:sz="6" w:space="0" w:color="auto"/>
              <w:bottom w:val="single" w:sz="6" w:space="0" w:color="auto"/>
              <w:right w:val="single" w:sz="6" w:space="0" w:color="auto"/>
            </w:tcBorders>
            <w:hideMark/>
          </w:tcPr>
          <w:p w14:paraId="06C4ED7C"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HO112</w:t>
            </w:r>
          </w:p>
        </w:tc>
      </w:tr>
      <w:tr w:rsidR="00EC7BD3" w14:paraId="0FD3964A" w14:textId="77777777" w:rsidTr="00211D49">
        <w:trPr>
          <w:trHeight w:val="175"/>
        </w:trPr>
        <w:tc>
          <w:tcPr>
            <w:tcW w:w="5275" w:type="dxa"/>
            <w:tcBorders>
              <w:top w:val="single" w:sz="6" w:space="0" w:color="auto"/>
              <w:left w:val="single" w:sz="6" w:space="0" w:color="auto"/>
              <w:bottom w:val="single" w:sz="6" w:space="0" w:color="auto"/>
              <w:right w:val="single" w:sz="6" w:space="0" w:color="auto"/>
            </w:tcBorders>
            <w:hideMark/>
          </w:tcPr>
          <w:p w14:paraId="215A9CA1"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Bluestone beach wall</w:t>
            </w:r>
          </w:p>
        </w:tc>
        <w:tc>
          <w:tcPr>
            <w:tcW w:w="1134" w:type="dxa"/>
            <w:tcBorders>
              <w:top w:val="single" w:sz="6" w:space="0" w:color="auto"/>
              <w:left w:val="single" w:sz="6" w:space="0" w:color="auto"/>
              <w:bottom w:val="single" w:sz="6" w:space="0" w:color="auto"/>
              <w:right w:val="single" w:sz="6" w:space="0" w:color="auto"/>
            </w:tcBorders>
          </w:tcPr>
          <w:p w14:paraId="2C378F67" w14:textId="77777777" w:rsidR="00EC7BD3" w:rsidRDefault="00EC7BD3" w:rsidP="00EC7BD3">
            <w:pPr>
              <w:autoSpaceDE w:val="0"/>
              <w:autoSpaceDN w:val="0"/>
              <w:adjustRightInd w:val="0"/>
              <w:spacing w:after="0" w:line="240" w:lineRule="auto"/>
              <w:jc w:val="right"/>
              <w:rPr>
                <w:rFonts w:ascii="Calibri" w:hAnsi="Calibri" w:cs="Calibri"/>
                <w:color w:val="000000"/>
              </w:rPr>
            </w:pPr>
          </w:p>
        </w:tc>
        <w:tc>
          <w:tcPr>
            <w:tcW w:w="2268" w:type="dxa"/>
            <w:tcBorders>
              <w:top w:val="single" w:sz="6" w:space="0" w:color="auto"/>
              <w:left w:val="single" w:sz="6" w:space="0" w:color="auto"/>
              <w:bottom w:val="single" w:sz="6" w:space="0" w:color="auto"/>
              <w:right w:val="single" w:sz="6" w:space="0" w:color="auto"/>
            </w:tcBorders>
            <w:hideMark/>
          </w:tcPr>
          <w:p w14:paraId="6A851DC2"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HO450</w:t>
            </w:r>
          </w:p>
        </w:tc>
      </w:tr>
      <w:tr w:rsidR="00EC7BD3" w14:paraId="6F3CD72F" w14:textId="77777777" w:rsidTr="00211D49">
        <w:trPr>
          <w:trHeight w:val="175"/>
        </w:trPr>
        <w:tc>
          <w:tcPr>
            <w:tcW w:w="5275" w:type="dxa"/>
            <w:tcBorders>
              <w:top w:val="single" w:sz="6" w:space="0" w:color="auto"/>
              <w:left w:val="single" w:sz="6" w:space="0" w:color="auto"/>
              <w:bottom w:val="single" w:sz="6" w:space="0" w:color="auto"/>
              <w:right w:val="single" w:sz="6" w:space="0" w:color="auto"/>
            </w:tcBorders>
            <w:hideMark/>
          </w:tcPr>
          <w:p w14:paraId="43393D32" w14:textId="785EDCDB"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St George's Uniting (formerly Presbyterian)</w:t>
            </w:r>
            <w:r w:rsidR="001E3F30">
              <w:rPr>
                <w:rFonts w:ascii="Calibri" w:hAnsi="Calibri" w:cs="Calibri"/>
                <w:color w:val="000000"/>
              </w:rPr>
              <w:t xml:space="preserve"> </w:t>
            </w:r>
            <w:r>
              <w:rPr>
                <w:rFonts w:ascii="Calibri" w:hAnsi="Calibri" w:cs="Calibri"/>
                <w:color w:val="000000"/>
              </w:rPr>
              <w:t>Church, St Kilda</w:t>
            </w:r>
          </w:p>
        </w:tc>
        <w:tc>
          <w:tcPr>
            <w:tcW w:w="1134" w:type="dxa"/>
            <w:tcBorders>
              <w:top w:val="single" w:sz="6" w:space="0" w:color="auto"/>
              <w:left w:val="single" w:sz="6" w:space="0" w:color="auto"/>
              <w:bottom w:val="single" w:sz="6" w:space="0" w:color="auto"/>
              <w:right w:val="single" w:sz="6" w:space="0" w:color="auto"/>
            </w:tcBorders>
            <w:hideMark/>
          </w:tcPr>
          <w:p w14:paraId="05ED765E"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H0864</w:t>
            </w:r>
          </w:p>
        </w:tc>
        <w:tc>
          <w:tcPr>
            <w:tcW w:w="2268" w:type="dxa"/>
            <w:tcBorders>
              <w:top w:val="single" w:sz="6" w:space="0" w:color="auto"/>
              <w:left w:val="single" w:sz="6" w:space="0" w:color="auto"/>
              <w:bottom w:val="single" w:sz="6" w:space="0" w:color="auto"/>
              <w:right w:val="single" w:sz="6" w:space="0" w:color="auto"/>
            </w:tcBorders>
            <w:hideMark/>
          </w:tcPr>
          <w:p w14:paraId="01E2A767"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HO82</w:t>
            </w:r>
          </w:p>
        </w:tc>
      </w:tr>
      <w:tr w:rsidR="00EC7BD3" w14:paraId="718F41BB" w14:textId="77777777" w:rsidTr="00211D49">
        <w:trPr>
          <w:trHeight w:val="175"/>
        </w:trPr>
        <w:tc>
          <w:tcPr>
            <w:tcW w:w="5275" w:type="dxa"/>
            <w:tcBorders>
              <w:top w:val="single" w:sz="6" w:space="0" w:color="auto"/>
              <w:left w:val="single" w:sz="6" w:space="0" w:color="auto"/>
              <w:bottom w:val="single" w:sz="6" w:space="0" w:color="auto"/>
              <w:right w:val="single" w:sz="6" w:space="0" w:color="auto"/>
            </w:tcBorders>
            <w:hideMark/>
          </w:tcPr>
          <w:p w14:paraId="0C180BD5"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Alma Road Community Centre</w:t>
            </w:r>
          </w:p>
        </w:tc>
        <w:tc>
          <w:tcPr>
            <w:tcW w:w="1134" w:type="dxa"/>
            <w:tcBorders>
              <w:top w:val="single" w:sz="6" w:space="0" w:color="auto"/>
              <w:left w:val="single" w:sz="6" w:space="0" w:color="auto"/>
              <w:bottom w:val="single" w:sz="6" w:space="0" w:color="auto"/>
              <w:right w:val="single" w:sz="6" w:space="0" w:color="auto"/>
            </w:tcBorders>
          </w:tcPr>
          <w:p w14:paraId="118AA833" w14:textId="77777777" w:rsidR="00EC7BD3" w:rsidRDefault="00EC7BD3" w:rsidP="00EC7BD3">
            <w:pPr>
              <w:autoSpaceDE w:val="0"/>
              <w:autoSpaceDN w:val="0"/>
              <w:adjustRightInd w:val="0"/>
              <w:spacing w:after="0" w:line="240" w:lineRule="auto"/>
              <w:jc w:val="right"/>
              <w:rPr>
                <w:rFonts w:ascii="Calibri" w:hAnsi="Calibri" w:cs="Calibri"/>
                <w:color w:val="000000"/>
              </w:rPr>
            </w:pPr>
          </w:p>
        </w:tc>
        <w:tc>
          <w:tcPr>
            <w:tcW w:w="2268" w:type="dxa"/>
            <w:tcBorders>
              <w:top w:val="single" w:sz="6" w:space="0" w:color="auto"/>
              <w:left w:val="single" w:sz="6" w:space="0" w:color="auto"/>
              <w:bottom w:val="single" w:sz="6" w:space="0" w:color="auto"/>
              <w:right w:val="single" w:sz="6" w:space="0" w:color="auto"/>
            </w:tcBorders>
            <w:hideMark/>
          </w:tcPr>
          <w:p w14:paraId="0F635A63"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HO23</w:t>
            </w:r>
          </w:p>
        </w:tc>
      </w:tr>
      <w:tr w:rsidR="00EC7BD3" w14:paraId="3F21CBE1" w14:textId="77777777" w:rsidTr="00211D49">
        <w:trPr>
          <w:trHeight w:val="175"/>
        </w:trPr>
        <w:tc>
          <w:tcPr>
            <w:tcW w:w="5275" w:type="dxa"/>
            <w:tcBorders>
              <w:top w:val="single" w:sz="6" w:space="0" w:color="auto"/>
              <w:left w:val="single" w:sz="6" w:space="0" w:color="auto"/>
              <w:bottom w:val="single" w:sz="6" w:space="0" w:color="auto"/>
              <w:right w:val="single" w:sz="6" w:space="0" w:color="auto"/>
            </w:tcBorders>
            <w:hideMark/>
          </w:tcPr>
          <w:p w14:paraId="1FD9A4DD"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St Kilda Primary School</w:t>
            </w:r>
          </w:p>
        </w:tc>
        <w:tc>
          <w:tcPr>
            <w:tcW w:w="1134" w:type="dxa"/>
            <w:tcBorders>
              <w:top w:val="single" w:sz="6" w:space="0" w:color="auto"/>
              <w:left w:val="single" w:sz="6" w:space="0" w:color="auto"/>
              <w:bottom w:val="single" w:sz="6" w:space="0" w:color="auto"/>
              <w:right w:val="single" w:sz="6" w:space="0" w:color="auto"/>
            </w:tcBorders>
            <w:hideMark/>
          </w:tcPr>
          <w:p w14:paraId="7B96648F"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H1712</w:t>
            </w:r>
          </w:p>
        </w:tc>
        <w:tc>
          <w:tcPr>
            <w:tcW w:w="2268" w:type="dxa"/>
            <w:tcBorders>
              <w:top w:val="single" w:sz="6" w:space="0" w:color="auto"/>
              <w:left w:val="single" w:sz="6" w:space="0" w:color="auto"/>
              <w:bottom w:val="single" w:sz="6" w:space="0" w:color="auto"/>
              <w:right w:val="single" w:sz="6" w:space="0" w:color="auto"/>
            </w:tcBorders>
            <w:hideMark/>
          </w:tcPr>
          <w:p w14:paraId="539CBD94"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HO64</w:t>
            </w:r>
          </w:p>
        </w:tc>
      </w:tr>
      <w:tr w:rsidR="00EC7BD3" w14:paraId="0E76148F" w14:textId="77777777" w:rsidTr="00211D49">
        <w:trPr>
          <w:trHeight w:val="175"/>
        </w:trPr>
        <w:tc>
          <w:tcPr>
            <w:tcW w:w="5275" w:type="dxa"/>
            <w:tcBorders>
              <w:top w:val="single" w:sz="6" w:space="0" w:color="auto"/>
              <w:left w:val="single" w:sz="6" w:space="0" w:color="auto"/>
              <w:bottom w:val="single" w:sz="6" w:space="0" w:color="auto"/>
              <w:right w:val="single" w:sz="6" w:space="0" w:color="auto"/>
            </w:tcBorders>
            <w:hideMark/>
          </w:tcPr>
          <w:p w14:paraId="0E974CE9"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Middle Park Primary School</w:t>
            </w:r>
          </w:p>
        </w:tc>
        <w:tc>
          <w:tcPr>
            <w:tcW w:w="1134" w:type="dxa"/>
            <w:tcBorders>
              <w:top w:val="single" w:sz="6" w:space="0" w:color="auto"/>
              <w:left w:val="single" w:sz="6" w:space="0" w:color="auto"/>
              <w:bottom w:val="single" w:sz="6" w:space="0" w:color="auto"/>
              <w:right w:val="single" w:sz="6" w:space="0" w:color="auto"/>
            </w:tcBorders>
            <w:hideMark/>
          </w:tcPr>
          <w:p w14:paraId="5D6E35C6"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H1711</w:t>
            </w:r>
          </w:p>
        </w:tc>
        <w:tc>
          <w:tcPr>
            <w:tcW w:w="2268" w:type="dxa"/>
            <w:tcBorders>
              <w:top w:val="single" w:sz="6" w:space="0" w:color="auto"/>
              <w:left w:val="single" w:sz="6" w:space="0" w:color="auto"/>
              <w:bottom w:val="single" w:sz="6" w:space="0" w:color="auto"/>
              <w:right w:val="single" w:sz="6" w:space="0" w:color="auto"/>
            </w:tcBorders>
            <w:hideMark/>
          </w:tcPr>
          <w:p w14:paraId="6811D06F"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HO239</w:t>
            </w:r>
          </w:p>
        </w:tc>
      </w:tr>
      <w:tr w:rsidR="00EC7BD3" w14:paraId="5E375C50" w14:textId="77777777" w:rsidTr="00211D49">
        <w:trPr>
          <w:trHeight w:val="175"/>
        </w:trPr>
        <w:tc>
          <w:tcPr>
            <w:tcW w:w="5275" w:type="dxa"/>
            <w:tcBorders>
              <w:top w:val="single" w:sz="6" w:space="0" w:color="auto"/>
              <w:left w:val="single" w:sz="6" w:space="0" w:color="auto"/>
              <w:bottom w:val="single" w:sz="6" w:space="0" w:color="auto"/>
              <w:right w:val="single" w:sz="6" w:space="0" w:color="auto"/>
            </w:tcBorders>
            <w:hideMark/>
          </w:tcPr>
          <w:p w14:paraId="62FF6A71"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Linden Gallery and House, 26 Acland Street, St Kilda</w:t>
            </w:r>
          </w:p>
        </w:tc>
        <w:tc>
          <w:tcPr>
            <w:tcW w:w="1134" w:type="dxa"/>
            <w:tcBorders>
              <w:top w:val="single" w:sz="6" w:space="0" w:color="auto"/>
              <w:left w:val="single" w:sz="6" w:space="0" w:color="auto"/>
              <w:bottom w:val="single" w:sz="6" w:space="0" w:color="auto"/>
              <w:right w:val="single" w:sz="6" w:space="0" w:color="auto"/>
            </w:tcBorders>
            <w:hideMark/>
          </w:tcPr>
          <w:p w14:paraId="7BA36F9A"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HO213</w:t>
            </w:r>
          </w:p>
        </w:tc>
        <w:tc>
          <w:tcPr>
            <w:tcW w:w="2268" w:type="dxa"/>
            <w:tcBorders>
              <w:top w:val="single" w:sz="6" w:space="0" w:color="auto"/>
              <w:left w:val="single" w:sz="6" w:space="0" w:color="auto"/>
              <w:bottom w:val="single" w:sz="6" w:space="0" w:color="auto"/>
              <w:right w:val="single" w:sz="6" w:space="0" w:color="auto"/>
            </w:tcBorders>
            <w:hideMark/>
          </w:tcPr>
          <w:p w14:paraId="47FD5F21" w14:textId="77777777" w:rsidR="00EC7BD3" w:rsidRDefault="00EC7BD3" w:rsidP="00EC7BD3">
            <w:pPr>
              <w:autoSpaceDE w:val="0"/>
              <w:autoSpaceDN w:val="0"/>
              <w:adjustRightInd w:val="0"/>
              <w:spacing w:after="0" w:line="240" w:lineRule="auto"/>
              <w:rPr>
                <w:rFonts w:ascii="Calibri" w:hAnsi="Calibri" w:cs="Calibri"/>
                <w:color w:val="000000"/>
              </w:rPr>
            </w:pPr>
            <w:r>
              <w:rPr>
                <w:rFonts w:ascii="Calibri" w:hAnsi="Calibri" w:cs="Calibri"/>
                <w:color w:val="000000"/>
              </w:rPr>
              <w:t>HO10</w:t>
            </w:r>
          </w:p>
        </w:tc>
      </w:tr>
    </w:tbl>
    <w:p w14:paraId="0CDD556A" w14:textId="77777777" w:rsidR="00EC7BD3" w:rsidRDefault="00EC7BD3" w:rsidP="00EC7BD3">
      <w:pPr>
        <w:rPr>
          <w:rFonts w:cstheme="minorBidi"/>
          <w:sz w:val="22"/>
          <w:szCs w:val="22"/>
        </w:rPr>
      </w:pPr>
    </w:p>
    <w:p w14:paraId="7C1A0FBB" w14:textId="77777777" w:rsidR="00EC7BD3" w:rsidRDefault="00EC7BD3" w:rsidP="00EC7BD3">
      <w:pPr>
        <w:pStyle w:val="list1"/>
        <w:numPr>
          <w:ilvl w:val="0"/>
          <w:numId w:val="0"/>
        </w:numPr>
        <w:ind w:left="1004" w:hanging="360"/>
      </w:pPr>
    </w:p>
    <w:sectPr w:rsidR="00EC7BD3" w:rsidSect="00163E58">
      <w:headerReference w:type="even" r:id="rId33"/>
      <w:headerReference w:type="default" r:id="rId34"/>
      <w:headerReference w:type="first" r:id="rId35"/>
      <w:footerReference w:type="first" r:id="rId36"/>
      <w:footnotePr>
        <w:numRestart w:val="eachSect"/>
      </w:footnotePr>
      <w:endnotePr>
        <w:numFmt w:val="decimal"/>
        <w:numRestart w:val="eachSect"/>
      </w:endnotePr>
      <w:pgSz w:w="11907" w:h="16840" w:code="9"/>
      <w:pgMar w:top="1418" w:right="1701" w:bottom="1418" w:left="1701" w:header="567" w:footer="629" w:gutter="0"/>
      <w:pgNumType w:start="1"/>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2F82F8D" w14:textId="77777777" w:rsidR="00211D49" w:rsidRDefault="00211D49" w:rsidP="00930D23">
      <w:r>
        <w:separator/>
      </w:r>
    </w:p>
  </w:endnote>
  <w:endnote w:type="continuationSeparator" w:id="0">
    <w:p w14:paraId="4E7EF86C" w14:textId="77777777" w:rsidR="00211D49" w:rsidRDefault="00211D49" w:rsidP="00930D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radeGothic Light">
    <w:altName w:val="Malgun Gothic"/>
    <w:charset w:val="00"/>
    <w:family w:val="auto"/>
    <w:pitch w:val="variable"/>
    <w:sig w:usb0="80000027"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DD462B" w14:textId="6918F8D9" w:rsidR="00211D49" w:rsidRPr="009E7933" w:rsidRDefault="00211D49" w:rsidP="00930D23">
    <w:pPr>
      <w:pStyle w:val="Footer"/>
    </w:pPr>
    <w:r w:rsidRPr="009E7933">
      <w:rPr>
        <w:rStyle w:val="PageNumber"/>
      </w:rPr>
      <w:fldChar w:fldCharType="begin"/>
    </w:r>
    <w:r w:rsidRPr="009E7933">
      <w:rPr>
        <w:rStyle w:val="PageNumber"/>
      </w:rPr>
      <w:instrText xml:space="preserve"> PAGE </w:instrText>
    </w:r>
    <w:r w:rsidRPr="009E7933">
      <w:rPr>
        <w:rStyle w:val="PageNumber"/>
      </w:rPr>
      <w:fldChar w:fldCharType="separate"/>
    </w:r>
    <w:r w:rsidR="00771B10">
      <w:rPr>
        <w:rStyle w:val="PageNumber"/>
      </w:rPr>
      <w:t>14</w:t>
    </w:r>
    <w:r w:rsidRPr="009E7933">
      <w:rPr>
        <w:rStyle w:val="PageNumber"/>
      </w:rPr>
      <w:fldChar w:fldCharType="end"/>
    </w:r>
    <w:r w:rsidRPr="009E7933">
      <w:rPr>
        <w:rStyle w:val="PageNumber"/>
      </w:rPr>
      <w:tab/>
    </w:r>
    <w:r>
      <w:rPr>
        <w:rStyle w:val="PageNumber"/>
      </w:rPr>
      <w:tab/>
    </w:r>
    <w:r w:rsidRPr="009E7933">
      <w:rPr>
        <w:rStyle w:val="PageNumber"/>
      </w:rPr>
      <w:t>lovell chen</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243900"/>
      <w:docPartObj>
        <w:docPartGallery w:val="Page Numbers (Bottom of Page)"/>
        <w:docPartUnique/>
      </w:docPartObj>
    </w:sdtPr>
    <w:sdtEndPr/>
    <w:sdtContent>
      <w:p w14:paraId="51365850" w14:textId="408C27C0" w:rsidR="00211D49" w:rsidRPr="00533E47" w:rsidRDefault="00211D49" w:rsidP="00E50F23">
        <w:pPr>
          <w:pStyle w:val="Footer"/>
        </w:pPr>
        <w:r>
          <w:t>lovell chen</w:t>
        </w:r>
        <w:r>
          <w:tab/>
        </w:r>
        <w:r>
          <w:fldChar w:fldCharType="begin"/>
        </w:r>
        <w:r>
          <w:instrText xml:space="preserve"> PAGE   \* MERGEFORMAT </w:instrText>
        </w:r>
        <w:r>
          <w:fldChar w:fldCharType="separate"/>
        </w:r>
        <w:r w:rsidR="00771B10">
          <w:t>13</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9A6019" w14:textId="77777777" w:rsidR="00211D49" w:rsidRDefault="00211D49" w:rsidP="0041189E">
    <w:pPr>
      <w:pStyle w:val="Footer"/>
      <w:pBdr>
        <w:top w:val="none" w:sz="0" w:space="0" w:color="auto"/>
      </w:pBdr>
    </w:pPr>
    <w:r>
      <w:rPr>
        <w:lang w:eastAsia="en-AU"/>
      </w:rPr>
      <w:drawing>
        <wp:anchor distT="0" distB="0" distL="114300" distR="114300" simplePos="0" relativeHeight="251660288" behindDoc="0" locked="0" layoutInCell="1" allowOverlap="1" wp14:anchorId="7E5B1AC3" wp14:editId="081EB2D7">
          <wp:simplePos x="0" y="0"/>
          <wp:positionH relativeFrom="column">
            <wp:posOffset>2000885</wp:posOffset>
          </wp:positionH>
          <wp:positionV relativeFrom="paragraph">
            <wp:posOffset>71755</wp:posOffset>
          </wp:positionV>
          <wp:extent cx="1609090" cy="344805"/>
          <wp:effectExtent l="0" t="0" r="0" b="1079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C_full-colour_rightSize_withAddress_300dpi_RGB.png"/>
                  <pic:cNvPicPr/>
                </pic:nvPicPr>
                <pic:blipFill rotWithShape="1">
                  <a:blip r:embed="rId1">
                    <a:extLst>
                      <a:ext uri="{28A0092B-C50C-407E-A947-70E740481C1C}">
                        <a14:useLocalDpi xmlns:a14="http://schemas.microsoft.com/office/drawing/2010/main" val="0"/>
                      </a:ext>
                    </a:extLst>
                  </a:blip>
                  <a:srcRect b="74452"/>
                  <a:stretch/>
                </pic:blipFill>
                <pic:spPr bwMode="auto">
                  <a:xfrm>
                    <a:off x="0" y="0"/>
                    <a:ext cx="1609090" cy="344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eastAsia="en-AU"/>
      </w:rPr>
      <mc:AlternateContent>
        <mc:Choice Requires="wps">
          <w:drawing>
            <wp:anchor distT="45720" distB="45720" distL="114300" distR="114300" simplePos="0" relativeHeight="251659264" behindDoc="0" locked="0" layoutInCell="1" allowOverlap="1" wp14:anchorId="1CBF894C" wp14:editId="7B02DC02">
              <wp:simplePos x="0" y="0"/>
              <wp:positionH relativeFrom="column">
                <wp:posOffset>1847215</wp:posOffset>
              </wp:positionH>
              <wp:positionV relativeFrom="paragraph">
                <wp:posOffset>69215</wp:posOffset>
              </wp:positionV>
              <wp:extent cx="4391025" cy="334010"/>
              <wp:effectExtent l="0" t="0" r="0" b="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1025" cy="334010"/>
                      </a:xfrm>
                      <a:prstGeom prst="rect">
                        <a:avLst/>
                      </a:prstGeom>
                      <a:noFill/>
                      <a:ln w="9525">
                        <a:noFill/>
                        <a:miter lim="800000"/>
                        <a:headEnd/>
                        <a:tailEnd/>
                      </a:ln>
                    </wps:spPr>
                    <wps:txbx>
                      <w:txbxContent>
                        <w:p w14:paraId="645C121C" w14:textId="77777777" w:rsidR="00211D49" w:rsidRDefault="00211D49" w:rsidP="00E55FAB">
                          <w:pPr>
                            <w:pStyle w:val="LClogo"/>
                            <w:ind w:left="3686" w:hanging="3402"/>
                          </w:pPr>
                          <w:r w:rsidRPr="008B6C62">
                            <w:t xml:space="preserve"> </w:t>
                          </w:r>
                          <w:r>
                            <w:tab/>
                          </w:r>
                          <w:r w:rsidRPr="006C6EA9">
                            <w:t>City of Port Phillip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CBF894C" id="_x0000_t202" coordsize="21600,21600" o:spt="202" path="m,l,21600r21600,l21600,xe">
              <v:stroke joinstyle="miter"/>
              <v:path gradientshapeok="t" o:connecttype="rect"/>
            </v:shapetype>
            <v:shape id="_x0000_s1027" type="#_x0000_t202" style="position:absolute;margin-left:145.45pt;margin-top:5.45pt;width:345.75pt;height:26.3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" filled="f" stroked="f">
              <v:textbox>
                <w:txbxContent>
                  <w:p w14:paraId="645C121C" w14:textId="77777777" w:rsidR="00211D49" w:rsidRDefault="00211D49" w:rsidP="00E55FAB">
                    <w:pPr>
                      <w:pStyle w:val="LClogo"/>
                      <w:ind w:left="3686" w:hanging="3402"/>
                    </w:pPr>
                    <w:r w:rsidRPr="008B6C62">
                      <w:t xml:space="preserve"> </w:t>
                    </w:r>
                    <w:r>
                      <w:tab/>
                    </w:r>
                    <w:r w:rsidRPr="006C6EA9">
                      <w:t>City of Port Phillip</w:t>
                    </w:r>
                  </w:p>
                </w:txbxContent>
              </v:textbox>
              <w10:wrap type="squar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35555398"/>
      <w:docPartObj>
        <w:docPartGallery w:val="Page Numbers (Bottom of Page)"/>
        <w:docPartUnique/>
      </w:docPartObj>
    </w:sdtPr>
    <w:sdtEndPr/>
    <w:sdtContent>
      <w:p w14:paraId="4AF37648" w14:textId="77777777" w:rsidR="00211D49" w:rsidRPr="00E50F23" w:rsidRDefault="00211D49" w:rsidP="00E50F23">
        <w:pPr>
          <w:pStyle w:val="Footer"/>
        </w:pPr>
        <w:r>
          <w:t>lovell chen</w:t>
        </w:r>
        <w:r>
          <w:tab/>
        </w:r>
        <w:r>
          <w:fldChar w:fldCharType="begin"/>
        </w:r>
        <w:r>
          <w:instrText xml:space="preserve"> PAGE   \* MERGEFORMAT </w:instrText>
        </w:r>
        <w:r>
          <w:fldChar w:fldCharType="separate"/>
        </w:r>
        <w:r>
          <w:t>1</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1E2E7D0" w14:textId="77777777" w:rsidR="00211D49" w:rsidRDefault="00211D49" w:rsidP="00930D23">
      <w:r>
        <w:separator/>
      </w:r>
    </w:p>
  </w:footnote>
  <w:footnote w:type="continuationSeparator" w:id="0">
    <w:p w14:paraId="52C57618" w14:textId="77777777" w:rsidR="00211D49" w:rsidRDefault="00211D49" w:rsidP="00930D23">
      <w:r>
        <w:continuationSeparator/>
      </w:r>
    </w:p>
  </w:footnote>
  <w:footnote w:id="1">
    <w:p w14:paraId="16277259" w14:textId="4A543149" w:rsidR="00211D49" w:rsidRDefault="00211D49">
      <w:pPr>
        <w:pStyle w:val="FootnoteText"/>
      </w:pPr>
      <w:r>
        <w:rPr>
          <w:rStyle w:val="FootnoteReference"/>
        </w:rPr>
        <w:footnoteRef/>
      </w:r>
      <w:r>
        <w:t xml:space="preserve"> </w:t>
      </w:r>
      <w:r>
        <w:tab/>
        <w:t xml:space="preserve">Project Brief, Port Phillip Heritage Program, Stage 1: Community consultation, Part 2 ‘Services Required’. </w:t>
      </w:r>
    </w:p>
  </w:footnote>
  <w:footnote w:id="2">
    <w:p w14:paraId="446C896D" w14:textId="53C4B9D3" w:rsidR="00211D49" w:rsidRDefault="00211D49" w:rsidP="007A1261">
      <w:pPr>
        <w:pStyle w:val="FootnoteText"/>
      </w:pPr>
      <w:r>
        <w:rPr>
          <w:rStyle w:val="FootnoteReference"/>
        </w:rPr>
        <w:footnoteRef/>
      </w:r>
      <w:r>
        <w:t xml:space="preserve"> </w:t>
      </w:r>
      <w:r>
        <w:tab/>
        <w:t xml:space="preserve">See for instance: Elizabeth Kryder-Reid, Jeremy W Foutz, Elizabeth Wood and Larry Zimmerman, ‘‘I just don’t ever use that word; investigating stakeholders’ understanding of heritage’, in the </w:t>
      </w:r>
      <w:r w:rsidRPr="00EF1389">
        <w:rPr>
          <w:i/>
        </w:rPr>
        <w:t>International Journal of Heritage Studies</w:t>
      </w:r>
      <w:r>
        <w:t xml:space="preserve">, 2018, volume 24, no. 7; Rachael Kiddey, ‘From the ground up: cultural heritage practices as tools for empowerment in the Homeless Heritage project’ in the </w:t>
      </w:r>
      <w:r w:rsidRPr="00EF1389">
        <w:rPr>
          <w:i/>
        </w:rPr>
        <w:t>International Journal of Heritage Studies</w:t>
      </w:r>
      <w:r>
        <w:t xml:space="preserve">, 2018, volume 24, no. 7; Elizabeth Auclair and Graham Fairclough, </w:t>
      </w:r>
      <w:r w:rsidRPr="00EF1389">
        <w:rPr>
          <w:i/>
        </w:rPr>
        <w:t>Theory and Practice in Heritage and Sustainability: Between the past and future</w:t>
      </w:r>
      <w:r>
        <w:t xml:space="preserve">, Routledge, 2015; and Alan Mace and Mark Tewdwr-Jones, ‘Neighbourhood Planning, Participation and Rational Choice’, London School of Economics Research Online, 2017.  </w:t>
      </w:r>
    </w:p>
  </w:footnote>
  <w:footnote w:id="3">
    <w:p w14:paraId="12E0ED3F" w14:textId="77777777" w:rsidR="00211D49" w:rsidRDefault="00211D49" w:rsidP="007A1261">
      <w:pPr>
        <w:pStyle w:val="FootnoteText"/>
      </w:pPr>
      <w:r>
        <w:rPr>
          <w:rStyle w:val="FootnoteReference"/>
        </w:rPr>
        <w:footnoteRef/>
      </w:r>
      <w:r>
        <w:t xml:space="preserve"> </w:t>
      </w:r>
      <w:r>
        <w:tab/>
        <w:t xml:space="preserve">Bill Garner, ‘Brookes Jerry – How local history scripts activism’, </w:t>
      </w:r>
      <w:hyperlink r:id="rId1" w:history="1">
        <w:r w:rsidRPr="00A365B0">
          <w:rPr>
            <w:rStyle w:val="Hyperlink"/>
          </w:rPr>
          <w:t>http://stkildahistory.org.au/history/foreshore/item/318-brookes-jetty-talk</w:t>
        </w:r>
      </w:hyperlink>
      <w:r>
        <w:t>, accessed 6 July 2018.</w:t>
      </w:r>
    </w:p>
  </w:footnote>
  <w:footnote w:id="4">
    <w:p w14:paraId="7EB22F72" w14:textId="05DF706D" w:rsidR="00211D49" w:rsidRDefault="00211D49" w:rsidP="009C4F2B">
      <w:pPr>
        <w:pStyle w:val="FootnoteText"/>
      </w:pPr>
      <w:r>
        <w:rPr>
          <w:rStyle w:val="FootnoteReference"/>
        </w:rPr>
        <w:footnoteRef/>
      </w:r>
      <w:r>
        <w:t xml:space="preserve"> </w:t>
      </w:r>
      <w:r>
        <w:tab/>
        <w:t xml:space="preserve">The imprecision of this figure arises because of the composite nature of multiple references, for instance, ‘Heritage residential and commercial streetscapes’, ‘Art Deco homes, pubs and buildings’ and ‘Bluestone laneways’.  Another factor is that some places are known by more than one name. </w:t>
      </w:r>
    </w:p>
  </w:footnote>
  <w:footnote w:id="5">
    <w:p w14:paraId="171C9393" w14:textId="70528E60" w:rsidR="00211D49" w:rsidRDefault="00211D49">
      <w:pPr>
        <w:pStyle w:val="FootnoteText"/>
      </w:pPr>
      <w:r>
        <w:rPr>
          <w:rStyle w:val="FootnoteReference"/>
        </w:rPr>
        <w:footnoteRef/>
      </w:r>
      <w:r>
        <w:t xml:space="preserve"> </w:t>
      </w:r>
      <w:r>
        <w:tab/>
        <w:t xml:space="preserve">Elton Consulting, </w:t>
      </w:r>
      <w:r w:rsidRPr="00F94AD2">
        <w:rPr>
          <w:i/>
        </w:rPr>
        <w:t>Consultation Report</w:t>
      </w:r>
      <w:r>
        <w:t xml:space="preserve">, July 2018, p. 30 (see Appendix C). </w:t>
      </w:r>
    </w:p>
  </w:footnote>
  <w:footnote w:id="6">
    <w:p w14:paraId="27BB66F8" w14:textId="77777777" w:rsidR="00211D49" w:rsidRDefault="00211D49" w:rsidP="000A65AC">
      <w:pPr>
        <w:pStyle w:val="FootnoteText"/>
      </w:pPr>
      <w:r>
        <w:rPr>
          <w:rStyle w:val="FootnoteReference"/>
        </w:rPr>
        <w:footnoteRef/>
      </w:r>
      <w:r>
        <w:t xml:space="preserve"> </w:t>
      </w:r>
      <w:r>
        <w:tab/>
        <w:t xml:space="preserve">Project Brief, Port Phillip Heritage Program, Stage 1: Community consultation, Part 2 ‘Services Required’. </w:t>
      </w:r>
    </w:p>
  </w:footnote>
  <w:footnote w:id="7">
    <w:p w14:paraId="7DF6792F" w14:textId="461464CF" w:rsidR="00211D49" w:rsidRDefault="00211D49">
      <w:pPr>
        <w:pStyle w:val="FootnoteText"/>
      </w:pPr>
      <w:r>
        <w:rPr>
          <w:rStyle w:val="FootnoteReference"/>
        </w:rPr>
        <w:footnoteRef/>
      </w:r>
      <w:r>
        <w:t xml:space="preserve"> </w:t>
      </w:r>
      <w:r>
        <w:tab/>
        <w:t xml:space="preserve">The balance of respondents (eight) preferred not to state their age bracket.  </w:t>
      </w:r>
    </w:p>
  </w:footnote>
  <w:footnote w:id="8">
    <w:p w14:paraId="0D230D96" w14:textId="69A768D8" w:rsidR="00211D49" w:rsidRDefault="00211D49">
      <w:pPr>
        <w:pStyle w:val="FootnoteText"/>
      </w:pPr>
      <w:r>
        <w:rPr>
          <w:rStyle w:val="FootnoteReference"/>
        </w:rPr>
        <w:footnoteRef/>
      </w:r>
      <w:r>
        <w:t xml:space="preserve"> </w:t>
      </w:r>
      <w:r>
        <w:tab/>
        <w:t xml:space="preserve">City of Port Phillip, </w:t>
      </w:r>
      <w:hyperlink r:id="rId2" w:history="1">
        <w:r w:rsidRPr="007722F2">
          <w:rPr>
            <w:rStyle w:val="Hyperlink"/>
          </w:rPr>
          <w:t>http://www.portphillip.vic.gov.au/planning-scheme-review.htm</w:t>
        </w:r>
      </w:hyperlink>
      <w:r>
        <w:t xml:space="preserve">, 20 July 2018. </w:t>
      </w:r>
    </w:p>
  </w:footnote>
  <w:footnote w:id="9">
    <w:p w14:paraId="607C5A6E" w14:textId="0EA9E3BE" w:rsidR="00211D49" w:rsidRPr="00F24776" w:rsidRDefault="00211D49" w:rsidP="00CB56F2">
      <w:pPr>
        <w:pStyle w:val="FootnoteText"/>
      </w:pPr>
      <w:r>
        <w:rPr>
          <w:rStyle w:val="FootnoteReference"/>
        </w:rPr>
        <w:footnoteRef/>
      </w:r>
      <w:r>
        <w:t xml:space="preserve"> </w:t>
      </w:r>
      <w:r>
        <w:tab/>
        <w:t xml:space="preserve">Metropolitan Planning Strategy, </w:t>
      </w:r>
      <w:r w:rsidRPr="00CB56F2">
        <w:rPr>
          <w:i/>
        </w:rPr>
        <w:t>Plan Melbourne Strategy, 2017-2050</w:t>
      </w:r>
      <w:r>
        <w:t xml:space="preserve">, </w:t>
      </w:r>
      <w:hyperlink r:id="rId3" w:history="1">
        <w:r w:rsidRPr="007722F2">
          <w:rPr>
            <w:rStyle w:val="Hyperlink"/>
          </w:rPr>
          <w:t>https://www.planmelbourne.vic.gov.au/the-plan</w:t>
        </w:r>
      </w:hyperlink>
      <w:r>
        <w:t xml:space="preserve">, 20 July 2018. </w:t>
      </w:r>
    </w:p>
  </w:footnote>
  <w:footnote w:id="10">
    <w:p w14:paraId="10B597D9" w14:textId="77777777" w:rsidR="00211D49" w:rsidRDefault="00211D49" w:rsidP="00561D77">
      <w:pPr>
        <w:pStyle w:val="FootnoteText"/>
      </w:pPr>
      <w:r>
        <w:rPr>
          <w:rStyle w:val="FootnoteReference"/>
        </w:rPr>
        <w:footnoteRef/>
      </w:r>
      <w:r>
        <w:t xml:space="preserve"> </w:t>
      </w:r>
      <w:r>
        <w:tab/>
        <w:t xml:space="preserve">Details of past ‘Have Your Say’ campaigns run by the City of Port Phillip are at, </w:t>
      </w:r>
      <w:hyperlink r:id="rId4" w:history="1">
        <w:r w:rsidRPr="00795358">
          <w:rPr>
            <w:rStyle w:val="Hyperlink"/>
          </w:rPr>
          <w:t>https://haveyoursay.portphillip.vic.gov.au/past-consultations</w:t>
        </w:r>
      </w:hyperlink>
      <w:r>
        <w:t xml:space="preserve"> </w:t>
      </w:r>
    </w:p>
  </w:footnote>
  <w:footnote w:id="11">
    <w:p w14:paraId="407BEAAB" w14:textId="77777777" w:rsidR="00211D49" w:rsidRDefault="00211D49" w:rsidP="00AD5C5F">
      <w:pPr>
        <w:pStyle w:val="FootnoteText"/>
      </w:pPr>
      <w:r>
        <w:rPr>
          <w:rStyle w:val="FootnoteReference"/>
        </w:rPr>
        <w:footnoteRef/>
      </w:r>
      <w:r>
        <w:t xml:space="preserve"> </w:t>
      </w:r>
      <w:r>
        <w:tab/>
        <w:t xml:space="preserve">PastPort, accessed via </w:t>
      </w:r>
      <w:hyperlink r:id="rId5" w:history="1">
        <w:r w:rsidRPr="00795358">
          <w:rPr>
            <w:rStyle w:val="Hyperlink"/>
          </w:rPr>
          <w:t>www.citizenheritage.com/the-project</w:t>
        </w:r>
      </w:hyperlink>
      <w:r>
        <w:t xml:space="preserve">, 9 July 2018. </w:t>
      </w:r>
    </w:p>
  </w:footnote>
  <w:footnote w:id="12">
    <w:p w14:paraId="6CE67D9B" w14:textId="52E7E777" w:rsidR="00211D49" w:rsidRDefault="00211D49">
      <w:pPr>
        <w:pStyle w:val="FootnoteText"/>
      </w:pPr>
      <w:r>
        <w:rPr>
          <w:rStyle w:val="FootnoteReference"/>
        </w:rPr>
        <w:footnoteRef/>
      </w:r>
      <w:r>
        <w:t xml:space="preserve"> </w:t>
      </w:r>
      <w:r>
        <w:tab/>
      </w:r>
      <w:r w:rsidRPr="00124944">
        <w:t>High Riser blog (</w:t>
      </w:r>
      <w:hyperlink r:id="rId6" w:history="1">
        <w:r w:rsidRPr="00124944">
          <w:t>http://highriser.blogspot.com)</w:t>
        </w:r>
      </w:hyperlink>
      <w:r>
        <w:t>, 6 December 2016.</w:t>
      </w:r>
    </w:p>
  </w:footnote>
  <w:footnote w:id="13">
    <w:p w14:paraId="616D9B31" w14:textId="77777777" w:rsidR="00211D49" w:rsidRDefault="00211D49">
      <w:pPr>
        <w:pStyle w:val="FootnoteText"/>
      </w:pPr>
      <w:r>
        <w:rPr>
          <w:rStyle w:val="FootnoteReference"/>
        </w:rPr>
        <w:footnoteRef/>
      </w:r>
      <w:r>
        <w:t xml:space="preserve"> </w:t>
      </w:r>
      <w:r>
        <w:tab/>
      </w:r>
      <w:r w:rsidRPr="00F86BB3">
        <w:t xml:space="preserve">PastPort, </w:t>
      </w:r>
      <w:hyperlink r:id="rId7" w:history="1">
        <w:r w:rsidRPr="00F86BB3">
          <w:rPr>
            <w:rStyle w:val="Hyperlink"/>
          </w:rPr>
          <w:t>http://www.citizenheritage.com/pastport-app/</w:t>
        </w:r>
      </w:hyperlink>
    </w:p>
  </w:footnote>
  <w:footnote w:id="14">
    <w:p w14:paraId="5FF1FEA6" w14:textId="77777777" w:rsidR="00211D49" w:rsidRDefault="00211D49" w:rsidP="001E2F6E">
      <w:pPr>
        <w:pStyle w:val="FootnoteText"/>
      </w:pPr>
      <w:r>
        <w:rPr>
          <w:rStyle w:val="FootnoteReference"/>
        </w:rPr>
        <w:footnoteRef/>
      </w:r>
      <w:r>
        <w:t xml:space="preserve"> </w:t>
      </w:r>
      <w:r>
        <w:tab/>
        <w:t xml:space="preserve">The History Pin, </w:t>
      </w:r>
      <w:hyperlink r:id="rId8" w:history="1">
        <w:r w:rsidRPr="005D70C3">
          <w:rPr>
            <w:rStyle w:val="Hyperlink"/>
          </w:rPr>
          <w:t>https://www.historypin.org</w:t>
        </w:r>
      </w:hyperlink>
    </w:p>
  </w:footnote>
  <w:footnote w:id="15">
    <w:p w14:paraId="6BD7E348" w14:textId="77777777" w:rsidR="00211D49" w:rsidRDefault="00211D49" w:rsidP="001A6383">
      <w:pPr>
        <w:pStyle w:val="FootnoteText"/>
      </w:pPr>
      <w:r>
        <w:rPr>
          <w:rStyle w:val="FootnoteReference"/>
        </w:rPr>
        <w:footnoteRef/>
      </w:r>
      <w:r>
        <w:t xml:space="preserve"> </w:t>
      </w:r>
      <w:r>
        <w:tab/>
      </w:r>
      <w:r w:rsidRPr="001D63F2">
        <w:t>St Kilda Jazz Tour</w:t>
      </w:r>
      <w:r>
        <w:t xml:space="preserve">, </w:t>
      </w:r>
      <w:hyperlink r:id="rId9" w:history="1">
        <w:r w:rsidRPr="005D70C3">
          <w:rPr>
            <w:rStyle w:val="Hyperlink"/>
          </w:rPr>
          <w:t>www.stkildajazztour.com.au</w:t>
        </w:r>
      </w:hyperlink>
    </w:p>
  </w:footnote>
  <w:footnote w:id="16">
    <w:p w14:paraId="2A69CD18" w14:textId="5097E7F4" w:rsidR="00211D49" w:rsidRDefault="00211D49">
      <w:pPr>
        <w:pStyle w:val="FootnoteText"/>
      </w:pPr>
      <w:r>
        <w:rPr>
          <w:rStyle w:val="FootnoteReference"/>
        </w:rPr>
        <w:footnoteRef/>
      </w:r>
      <w:r>
        <w:t xml:space="preserve"> </w:t>
      </w:r>
      <w:r>
        <w:tab/>
        <w:t xml:space="preserve">Legislation UK, </w:t>
      </w:r>
      <w:hyperlink r:id="rId10" w:history="1">
        <w:r w:rsidRPr="00C061CF">
          <w:rPr>
            <w:rStyle w:val="Hyperlink"/>
          </w:rPr>
          <w:t>http://www.legislation.gov.uk</w:t>
        </w:r>
      </w:hyperlink>
      <w:r>
        <w:t xml:space="preserve">, accessed 24 July 2018. </w:t>
      </w:r>
    </w:p>
  </w:footnote>
  <w:footnote w:id="17">
    <w:p w14:paraId="11BF13DC" w14:textId="77777777" w:rsidR="00211D49" w:rsidRPr="00B46B85" w:rsidRDefault="00211D49" w:rsidP="000A6021">
      <w:pPr>
        <w:pStyle w:val="FootnoteText"/>
        <w:rPr>
          <w:lang w:val="en-US"/>
        </w:rPr>
      </w:pPr>
      <w:r>
        <w:rPr>
          <w:rStyle w:val="FootnoteReference"/>
        </w:rPr>
        <w:footnoteRef/>
      </w:r>
      <w:r>
        <w:t xml:space="preserve"> </w:t>
      </w:r>
      <w:r>
        <w:rPr>
          <w:lang w:val="en-US"/>
        </w:rPr>
        <w:tab/>
        <w:t xml:space="preserve">Department for Communities and Local Government, National Planning Policy Framework, April 2012, paragraph 183. </w:t>
      </w:r>
    </w:p>
  </w:footnote>
  <w:footnote w:id="18">
    <w:p w14:paraId="6824B9E8" w14:textId="77777777" w:rsidR="00211D49" w:rsidRDefault="00211D49" w:rsidP="001359E2">
      <w:pPr>
        <w:pStyle w:val="FootnoteText"/>
      </w:pPr>
      <w:r>
        <w:rPr>
          <w:rStyle w:val="FootnoteReference"/>
        </w:rPr>
        <w:footnoteRef/>
      </w:r>
      <w:r>
        <w:t xml:space="preserve"> </w:t>
      </w:r>
      <w:r>
        <w:tab/>
      </w:r>
      <w:r w:rsidRPr="005A5978">
        <w:t xml:space="preserve">Gavin Parker and Kat Salter, ‘Taking Stock of Neighbourhood Planning in England, 2011-2016’, </w:t>
      </w:r>
      <w:r w:rsidRPr="005A5978">
        <w:rPr>
          <w:i/>
        </w:rPr>
        <w:t>Planning Practice &amp; Research,</w:t>
      </w:r>
      <w:r w:rsidRPr="005A5978">
        <w:t xml:space="preserve"> 2017, Volume 32, No. 4, pp.478-490. </w:t>
      </w:r>
    </w:p>
  </w:footnote>
  <w:footnote w:id="19">
    <w:p w14:paraId="4209AC16" w14:textId="461CE6DF" w:rsidR="00211D49" w:rsidRDefault="00211D49">
      <w:pPr>
        <w:pStyle w:val="FootnoteText"/>
      </w:pPr>
      <w:r>
        <w:rPr>
          <w:rStyle w:val="FootnoteReference"/>
        </w:rPr>
        <w:footnoteRef/>
      </w:r>
      <w:r>
        <w:t xml:space="preserve"> </w:t>
      </w:r>
      <w:r>
        <w:tab/>
      </w:r>
      <w:r w:rsidRPr="005A5978">
        <w:t xml:space="preserve">Gavin Parker and Kat Salter, ‘Taking Stock of Neighbourhood Planning in England, 2011-2016’, </w:t>
      </w:r>
      <w:r w:rsidRPr="005A5978">
        <w:rPr>
          <w:i/>
        </w:rPr>
        <w:t>Planning Practice &amp; Research,</w:t>
      </w:r>
      <w:r w:rsidRPr="005A5978">
        <w:t xml:space="preserve"> 2017, Volume 32, No. 4</w:t>
      </w:r>
      <w:r>
        <w:t xml:space="preserve">.  </w:t>
      </w:r>
    </w:p>
  </w:footnote>
  <w:footnote w:id="20">
    <w:p w14:paraId="504295DE" w14:textId="77777777" w:rsidR="00211D49" w:rsidRDefault="00211D49" w:rsidP="00604F90">
      <w:pPr>
        <w:pStyle w:val="FootnoteText"/>
      </w:pPr>
      <w:r>
        <w:rPr>
          <w:rStyle w:val="FootnoteReference"/>
        </w:rPr>
        <w:footnoteRef/>
      </w:r>
      <w:r>
        <w:t xml:space="preserve"> </w:t>
      </w:r>
      <w:r>
        <w:tab/>
      </w:r>
      <w:r w:rsidRPr="005A5978">
        <w:t xml:space="preserve">Gavin Parker and Kat Salter, ‘Taking Stock of Neighbourhood Planning in England, 2011-2016’, </w:t>
      </w:r>
      <w:r w:rsidRPr="005A5978">
        <w:rPr>
          <w:i/>
        </w:rPr>
        <w:t>Planning Practice &amp; Research,</w:t>
      </w:r>
      <w:r w:rsidRPr="005A5978">
        <w:t xml:space="preserve"> 2017, Volume 32, No. 4, p</w:t>
      </w:r>
      <w:r>
        <w:t xml:space="preserve">. 486.  </w:t>
      </w:r>
    </w:p>
  </w:footnote>
  <w:footnote w:id="21">
    <w:p w14:paraId="5B76A610" w14:textId="77777777" w:rsidR="00211D49" w:rsidRPr="0090342E" w:rsidRDefault="00211D49" w:rsidP="000F20F3">
      <w:pPr>
        <w:pStyle w:val="FootnoteText"/>
      </w:pPr>
      <w:r>
        <w:rPr>
          <w:rStyle w:val="FootnoteReference"/>
        </w:rPr>
        <w:footnoteRef/>
      </w:r>
      <w:r>
        <w:t xml:space="preserve"> </w:t>
      </w:r>
      <w:r>
        <w:tab/>
      </w:r>
      <w:r w:rsidRPr="0090342E">
        <w:t>‘Pub saved by locals serves first pint after reopening</w:t>
      </w:r>
      <w:r>
        <w:t xml:space="preserve">’, </w:t>
      </w:r>
      <w:r w:rsidRPr="0090342E">
        <w:rPr>
          <w:i/>
        </w:rPr>
        <w:t>The Guardian</w:t>
      </w:r>
      <w:r>
        <w:t xml:space="preserve">, 18 March 2018.  </w:t>
      </w:r>
    </w:p>
  </w:footnote>
  <w:footnote w:id="22">
    <w:p w14:paraId="71CDA301" w14:textId="77777777" w:rsidR="00211D49" w:rsidRDefault="00211D49" w:rsidP="000F20F3">
      <w:pPr>
        <w:pStyle w:val="FootnoteText"/>
      </w:pPr>
      <w:r>
        <w:rPr>
          <w:rStyle w:val="FootnoteReference"/>
        </w:rPr>
        <w:footnoteRef/>
      </w:r>
      <w:r>
        <w:t xml:space="preserve"> </w:t>
      </w:r>
      <w:r>
        <w:tab/>
        <w:t xml:space="preserve">Quoted in, </w:t>
      </w:r>
      <w:r w:rsidRPr="0090342E">
        <w:t>‘Pub saved by locals serves first pint after reopening</w:t>
      </w:r>
      <w:r>
        <w:t xml:space="preserve">’, </w:t>
      </w:r>
      <w:r w:rsidRPr="0090342E">
        <w:rPr>
          <w:i/>
        </w:rPr>
        <w:t>The Guardian</w:t>
      </w:r>
      <w:r>
        <w:t xml:space="preserve">, 18 March 2018.  </w:t>
      </w:r>
    </w:p>
  </w:footnote>
  <w:footnote w:id="23">
    <w:p w14:paraId="5E1809B0" w14:textId="77777777" w:rsidR="00211D49" w:rsidRDefault="00211D49" w:rsidP="00A12CF4">
      <w:pPr>
        <w:pStyle w:val="FootnoteText"/>
      </w:pPr>
      <w:r>
        <w:rPr>
          <w:rStyle w:val="FootnoteReference"/>
        </w:rPr>
        <w:footnoteRef/>
      </w:r>
      <w:r>
        <w:t xml:space="preserve"> </w:t>
      </w:r>
      <w:r>
        <w:tab/>
      </w:r>
      <w:r w:rsidRPr="00FC5944">
        <w:t xml:space="preserve">UNESCO, </w:t>
      </w:r>
      <w:r w:rsidRPr="00FC5944">
        <w:rPr>
          <w:i/>
        </w:rPr>
        <w:t>New Life for Historic Cities, The historic urban landscape approach explained</w:t>
      </w:r>
      <w:r w:rsidRPr="00FC5944">
        <w:t>, 2013</w:t>
      </w:r>
      <w:r>
        <w:t xml:space="preserve">, accessed via </w:t>
      </w:r>
      <w:hyperlink r:id="rId11" w:history="1">
        <w:r w:rsidRPr="000E726C">
          <w:rPr>
            <w:rStyle w:val="Hyperlink"/>
          </w:rPr>
          <w:t>https://whc.unesco.org/en/activities/727</w:t>
        </w:r>
      </w:hyperlink>
      <w:r>
        <w:t xml:space="preserve">, 5 July 2018. </w:t>
      </w:r>
    </w:p>
  </w:footnote>
  <w:footnote w:id="24">
    <w:p w14:paraId="46B65D29" w14:textId="18FD6F72" w:rsidR="00211D49" w:rsidRDefault="00211D49">
      <w:pPr>
        <w:pStyle w:val="FootnoteText"/>
      </w:pPr>
      <w:r>
        <w:rPr>
          <w:rStyle w:val="FootnoteReference"/>
        </w:rPr>
        <w:footnoteRef/>
      </w:r>
      <w:r>
        <w:t xml:space="preserve"> </w:t>
      </w:r>
      <w:r>
        <w:tab/>
        <w:t xml:space="preserve">UNESCO, </w:t>
      </w:r>
      <w:r w:rsidRPr="00C62AF0">
        <w:rPr>
          <w:i/>
        </w:rPr>
        <w:t>The HUL Guidebook, Managing heritage in dynamic and constantly changing urban environments</w:t>
      </w:r>
      <w:r>
        <w:t xml:space="preserve">, 2016.  </w:t>
      </w:r>
    </w:p>
  </w:footnote>
  <w:footnote w:id="25">
    <w:p w14:paraId="1ECE739B" w14:textId="77777777" w:rsidR="00211D49" w:rsidRPr="00E7136D" w:rsidRDefault="00211D49" w:rsidP="00B91F9A">
      <w:pPr>
        <w:rPr>
          <w:i/>
        </w:rPr>
      </w:pPr>
      <w:r>
        <w:rPr>
          <w:rStyle w:val="FootnoteReference"/>
        </w:rPr>
        <w:footnoteRef/>
      </w:r>
      <w:r>
        <w:t xml:space="preserve"> </w:t>
      </w:r>
      <w:r>
        <w:rPr>
          <w:lang w:val="en-US"/>
        </w:rPr>
        <w:tab/>
      </w:r>
      <w:r>
        <w:rPr>
          <w:lang w:val="en-US"/>
        </w:rPr>
        <w:tab/>
      </w:r>
      <w:r w:rsidRPr="00E7136D">
        <w:rPr>
          <w:rStyle w:val="FootnoteTextChar"/>
          <w:i/>
        </w:rPr>
        <w:t>We Are Port Phillip: City of Port Phillip Council Plan, 2017-2017.</w:t>
      </w:r>
    </w:p>
  </w:footnote>
  <w:footnote w:id="26">
    <w:p w14:paraId="20B1EF99" w14:textId="08C09BCB" w:rsidR="00211D49" w:rsidRPr="00B91F9A" w:rsidRDefault="00211D49">
      <w:pPr>
        <w:pStyle w:val="FootnoteText"/>
        <w:rPr>
          <w:lang w:val="en-US"/>
        </w:rPr>
      </w:pPr>
      <w:r>
        <w:rPr>
          <w:rStyle w:val="FootnoteReference"/>
        </w:rPr>
        <w:footnoteRef/>
      </w:r>
      <w:r>
        <w:t xml:space="preserve"> </w:t>
      </w:r>
      <w:r>
        <w:rPr>
          <w:lang w:val="en-US"/>
        </w:rPr>
        <w:tab/>
        <w:t xml:space="preserve">City of Port Phillip, 2016 Census Results.  </w:t>
      </w:r>
    </w:p>
  </w:footnote>
  <w:footnote w:id="27">
    <w:p w14:paraId="792F1EFD" w14:textId="77777777" w:rsidR="00211D49" w:rsidRDefault="00211D49" w:rsidP="000F07B2">
      <w:pPr>
        <w:pStyle w:val="FootnoteText"/>
      </w:pPr>
      <w:r>
        <w:rPr>
          <w:rStyle w:val="FootnoteReference"/>
        </w:rPr>
        <w:footnoteRef/>
      </w:r>
      <w:r>
        <w:t xml:space="preserve"> </w:t>
      </w:r>
      <w:r>
        <w:tab/>
      </w:r>
      <w:r w:rsidRPr="00762465">
        <w:rPr>
          <w:i/>
        </w:rPr>
        <w:t>We Are Port Phillip: City of Port Phillip Council Plan</w:t>
      </w:r>
      <w:r w:rsidRPr="000F07B2">
        <w:t>, 2017-2017</w:t>
      </w:r>
      <w:r>
        <w:t xml:space="preserve">, p. 22. </w:t>
      </w:r>
    </w:p>
  </w:footnote>
  <w:footnote w:id="28">
    <w:p w14:paraId="2E7590B6" w14:textId="07188D2B" w:rsidR="00211D49" w:rsidRPr="0024496D" w:rsidRDefault="00211D49">
      <w:pPr>
        <w:pStyle w:val="FootnoteText"/>
        <w:rPr>
          <w:lang w:val="en-US"/>
        </w:rPr>
      </w:pPr>
      <w:r>
        <w:rPr>
          <w:rStyle w:val="FootnoteReference"/>
        </w:rPr>
        <w:footnoteRef/>
      </w:r>
      <w:r>
        <w:t xml:space="preserve"> </w:t>
      </w:r>
      <w:r>
        <w:rPr>
          <w:lang w:val="en-US"/>
        </w:rPr>
        <w:tab/>
        <w:t xml:space="preserve">City of Port Phillip, 2016 Census Results.  </w:t>
      </w:r>
    </w:p>
  </w:footnote>
  <w:footnote w:id="29">
    <w:p w14:paraId="49C64EEE" w14:textId="72B67626" w:rsidR="00211D49" w:rsidRPr="0024496D" w:rsidRDefault="00211D49">
      <w:pPr>
        <w:pStyle w:val="FootnoteText"/>
        <w:rPr>
          <w:lang w:val="en-US"/>
        </w:rPr>
      </w:pPr>
      <w:r>
        <w:rPr>
          <w:rStyle w:val="FootnoteReference"/>
        </w:rPr>
        <w:footnoteRef/>
      </w:r>
      <w:r>
        <w:t xml:space="preserve"> </w:t>
      </w:r>
      <w:r>
        <w:rPr>
          <w:lang w:val="en-US"/>
        </w:rPr>
        <w:tab/>
        <w:t xml:space="preserve">City of Port Phillip, </w:t>
      </w:r>
      <w:hyperlink r:id="rId12" w:history="1">
        <w:r w:rsidRPr="007E1F82">
          <w:rPr>
            <w:rStyle w:val="Hyperlink"/>
            <w:lang w:val="en-US"/>
          </w:rPr>
          <w:t>www.portphillip.vic.gov.au/demographics.htm</w:t>
        </w:r>
      </w:hyperlink>
      <w:r>
        <w:rPr>
          <w:lang w:val="en-US"/>
        </w:rPr>
        <w:t xml:space="preserve">, accessed 25 July 2018. </w:t>
      </w:r>
    </w:p>
  </w:footnote>
  <w:footnote w:id="30">
    <w:p w14:paraId="554BB856" w14:textId="711FAFC8" w:rsidR="00211D49" w:rsidRPr="00D30274" w:rsidRDefault="00211D49">
      <w:pPr>
        <w:pStyle w:val="FootnoteText"/>
      </w:pPr>
      <w:r>
        <w:rPr>
          <w:rStyle w:val="FootnoteReference"/>
        </w:rPr>
        <w:footnoteRef/>
      </w:r>
      <w:r>
        <w:t xml:space="preserve"> </w:t>
      </w:r>
      <w:r>
        <w:tab/>
      </w:r>
      <w:r w:rsidRPr="009C2677">
        <w:rPr>
          <w:i/>
        </w:rPr>
        <w:t>Planning and Environment Act, 1987</w:t>
      </w:r>
      <w:r>
        <w:rPr>
          <w:i/>
        </w:rPr>
        <w:t xml:space="preserve">, </w:t>
      </w:r>
      <w:r>
        <w:t xml:space="preserve">Section 4. </w:t>
      </w:r>
    </w:p>
  </w:footnote>
  <w:footnote w:id="31">
    <w:p w14:paraId="771BDF6B" w14:textId="523BEDA6" w:rsidR="00211D49" w:rsidRDefault="00211D49" w:rsidP="003248C3">
      <w:pPr>
        <w:pStyle w:val="FootnoteText"/>
      </w:pPr>
      <w:r>
        <w:rPr>
          <w:rStyle w:val="FootnoteReference"/>
        </w:rPr>
        <w:footnoteRef/>
      </w:r>
      <w:r>
        <w:t xml:space="preserve"> </w:t>
      </w:r>
      <w:r>
        <w:tab/>
        <w:t xml:space="preserve">Applying the Heritage Overlay, </w:t>
      </w:r>
      <w:r w:rsidRPr="003779FC">
        <w:t>Planning Practice Note,</w:t>
      </w:r>
      <w:r>
        <w:t xml:space="preserve"> July 2015: </w:t>
      </w:r>
    </w:p>
  </w:footnote>
  <w:footnote w:id="32">
    <w:p w14:paraId="592D5FC4" w14:textId="4090013C" w:rsidR="00211D49" w:rsidRDefault="00211D49">
      <w:pPr>
        <w:pStyle w:val="FootnoteText"/>
      </w:pPr>
      <w:r>
        <w:rPr>
          <w:rStyle w:val="FootnoteReference"/>
        </w:rPr>
        <w:footnoteRef/>
      </w:r>
      <w:r>
        <w:t xml:space="preserve"> </w:t>
      </w:r>
      <w:r>
        <w:tab/>
      </w:r>
      <w:r w:rsidRPr="009C2677">
        <w:rPr>
          <w:i/>
        </w:rPr>
        <w:t>Planning and Environment Act, 1987</w:t>
      </w:r>
      <w:r>
        <w:rPr>
          <w:i/>
        </w:rPr>
        <w:t xml:space="preserve">, </w:t>
      </w:r>
      <w:r>
        <w:t xml:space="preserve">Section </w:t>
      </w:r>
      <w:r w:rsidRPr="00671BE8">
        <w:t>60 (1)(f)</w:t>
      </w:r>
      <w:r>
        <w:t xml:space="preserve">. </w:t>
      </w:r>
    </w:p>
  </w:footnote>
  <w:footnote w:id="33">
    <w:p w14:paraId="60081EE6" w14:textId="77777777" w:rsidR="00211D49" w:rsidRDefault="00211D49" w:rsidP="00F06694">
      <w:pPr>
        <w:pStyle w:val="FootnoteText"/>
      </w:pPr>
      <w:r>
        <w:rPr>
          <w:rStyle w:val="FootnoteReference"/>
        </w:rPr>
        <w:footnoteRef/>
      </w:r>
      <w:r>
        <w:t xml:space="preserve"> </w:t>
      </w:r>
      <w:r>
        <w:tab/>
      </w:r>
      <w:r w:rsidRPr="00C00D58">
        <w:t xml:space="preserve">State Government, 2015, Planning Advisory Note 63 - </w:t>
      </w:r>
      <w:r w:rsidRPr="00C00D58">
        <w:rPr>
          <w:i/>
          <w:iCs/>
        </w:rPr>
        <w:t xml:space="preserve">Planning and Environment Amendment (Recognising Objectors) Act 2015 </w:t>
      </w:r>
      <w:r w:rsidRPr="00C00D58">
        <w:t xml:space="preserve"> </w:t>
      </w:r>
    </w:p>
  </w:footnote>
  <w:footnote w:id="34">
    <w:p w14:paraId="5247158C" w14:textId="77777777" w:rsidR="00211D49" w:rsidRDefault="00211D49" w:rsidP="00F06694">
      <w:pPr>
        <w:pStyle w:val="FootnoteText"/>
      </w:pPr>
      <w:r>
        <w:rPr>
          <w:rStyle w:val="FootnoteReference"/>
        </w:rPr>
        <w:footnoteRef/>
      </w:r>
      <w:r>
        <w:t xml:space="preserve"> </w:t>
      </w:r>
      <w:r>
        <w:tab/>
        <w:t xml:space="preserve">Minawood Pty Ltd v Bayside City Council (Red Dot) [2009] VCAT 440 [35]  </w:t>
      </w:r>
    </w:p>
  </w:footnote>
  <w:footnote w:id="35">
    <w:p w14:paraId="64349C71" w14:textId="4170E45E" w:rsidR="00211D49" w:rsidRDefault="00211D49" w:rsidP="00E15477">
      <w:pPr>
        <w:pStyle w:val="FootnoteText"/>
      </w:pPr>
      <w:r>
        <w:rPr>
          <w:rStyle w:val="FootnoteReference"/>
        </w:rPr>
        <w:footnoteRef/>
      </w:r>
      <w:r>
        <w:t xml:space="preserve"> </w:t>
      </w:r>
      <w:r>
        <w:tab/>
        <w:t xml:space="preserve">Backman &amp; Company Pty Ltd v Boroondara CC (Red Dot) [2015] VCAT 1836 (25 November 2015)  </w:t>
      </w:r>
    </w:p>
  </w:footnote>
  <w:footnote w:id="36">
    <w:p w14:paraId="721BBC75" w14:textId="11BF1775" w:rsidR="00211D49" w:rsidRDefault="00211D49">
      <w:pPr>
        <w:pStyle w:val="FootnoteText"/>
      </w:pPr>
      <w:r>
        <w:rPr>
          <w:rStyle w:val="FootnoteReference"/>
        </w:rPr>
        <w:footnoteRef/>
      </w:r>
      <w:r>
        <w:t xml:space="preserve"> </w:t>
      </w:r>
      <w:r>
        <w:tab/>
      </w:r>
      <w:r w:rsidRPr="0076330C">
        <w:rPr>
          <w:rStyle w:val="FootnoteTextChar"/>
        </w:rPr>
        <w:t>Jinshan Investment Group Pty Ltd v Melbourne CC [2016] VCAT 626 (22 April 2016) -</w:t>
      </w:r>
    </w:p>
  </w:footnote>
  <w:footnote w:id="37">
    <w:p w14:paraId="13BD192F" w14:textId="77777777" w:rsidR="00211D49" w:rsidRDefault="00211D49" w:rsidP="00E15477">
      <w:pPr>
        <w:pStyle w:val="FootnoteText"/>
        <w:rPr>
          <w:rFonts w:ascii="Calibri" w:hAnsi="Calibri"/>
        </w:rPr>
      </w:pPr>
      <w:r>
        <w:rPr>
          <w:rStyle w:val="FootnoteReference"/>
        </w:rPr>
        <w:footnoteRef/>
      </w:r>
      <w:r>
        <w:t xml:space="preserve"> </w:t>
      </w:r>
      <w:r>
        <w:tab/>
        <w:t xml:space="preserve">City of Port Phillip, Heritage Recognition Program, </w:t>
      </w:r>
      <w:hyperlink r:id="rId13" w:history="1">
        <w:r>
          <w:rPr>
            <w:rStyle w:val="Hyperlink"/>
          </w:rPr>
          <w:t>https://heritage.portphillip.vic.gov.au/People_places/Heritage_recognition_program</w:t>
        </w:r>
      </w:hyperlink>
      <w:r>
        <w:t>, accessed 16 April 2018</w:t>
      </w:r>
    </w:p>
  </w:footnote>
  <w:footnote w:id="38">
    <w:p w14:paraId="3E7361C3" w14:textId="77777777" w:rsidR="00211D49" w:rsidRDefault="00211D49">
      <w:pPr>
        <w:pStyle w:val="FootnoteText"/>
      </w:pPr>
      <w:r>
        <w:rPr>
          <w:rStyle w:val="FootnoteReference"/>
        </w:rPr>
        <w:footnoteRef/>
      </w:r>
      <w:r>
        <w:t xml:space="preserve"> </w:t>
      </w:r>
      <w:r>
        <w:tab/>
        <w:t xml:space="preserve">Lovell Chen and ACAHUCH, </w:t>
      </w:r>
      <w:r w:rsidRPr="00F215A5">
        <w:rPr>
          <w:i/>
        </w:rPr>
        <w:t>Assessing and managing social value</w:t>
      </w:r>
      <w:r>
        <w:t xml:space="preserve">, report for the Heritage Council of Victoria, May 2018, p. 10. </w:t>
      </w:r>
    </w:p>
  </w:footnote>
  <w:footnote w:id="39">
    <w:p w14:paraId="1DAE7031" w14:textId="07662310" w:rsidR="00211D49" w:rsidRDefault="00211D49">
      <w:pPr>
        <w:pStyle w:val="FootnoteText"/>
      </w:pPr>
      <w:r>
        <w:rPr>
          <w:rStyle w:val="FootnoteReference"/>
        </w:rPr>
        <w:footnoteRef/>
      </w:r>
      <w:r>
        <w:t xml:space="preserve"> </w:t>
      </w:r>
      <w:r>
        <w:tab/>
        <w:t>Stevie Meyer, Senior Strategic Planner, City of Port Phillip, as noted in advice titled ‘</w:t>
      </w:r>
      <w:r w:rsidRPr="00ED64D1">
        <w:t>Heritage Program – Stage 1 Consultation, City Strategy feedback’ 2 August 2018.</w:t>
      </w:r>
      <w:r>
        <w:rPr>
          <w:b/>
        </w:rPr>
        <w:t xml:space="preserve"> </w:t>
      </w:r>
    </w:p>
  </w:footnote>
  <w:footnote w:id="40">
    <w:p w14:paraId="6804ED4E" w14:textId="77777777" w:rsidR="00211D49" w:rsidRDefault="00211D49" w:rsidP="00341C2E">
      <w:pPr>
        <w:pStyle w:val="FootnoteText"/>
      </w:pPr>
      <w:r>
        <w:rPr>
          <w:rStyle w:val="FootnoteReference"/>
        </w:rPr>
        <w:footnoteRef/>
      </w:r>
      <w:r>
        <w:t xml:space="preserve"> </w:t>
      </w:r>
      <w:r>
        <w:tab/>
        <w:t xml:space="preserve">The imprecision of this figure arises because of the composite nature of multiple references, for instance, ‘Heritage residential and commercial streetscapes’, ‘Art Deco homes, pubs and buildings’ and ‘Bluestone laneways’.  </w:t>
      </w:r>
    </w:p>
  </w:footnote>
  <w:footnote w:id="41">
    <w:p w14:paraId="6B7A5452" w14:textId="77777777" w:rsidR="00211D49" w:rsidRDefault="00211D49">
      <w:pPr>
        <w:pStyle w:val="FootnoteText"/>
      </w:pPr>
      <w:r>
        <w:rPr>
          <w:rStyle w:val="FootnoteReference"/>
        </w:rPr>
        <w:footnoteRef/>
      </w:r>
      <w:r>
        <w:t xml:space="preserve"> </w:t>
      </w:r>
      <w:r>
        <w:tab/>
        <w:t xml:space="preserve">Bill Garner, ‘Brookes Jerry – How local history scripts activism’, </w:t>
      </w:r>
      <w:hyperlink r:id="rId14" w:history="1">
        <w:r w:rsidRPr="00A365B0">
          <w:rPr>
            <w:rStyle w:val="Hyperlink"/>
          </w:rPr>
          <w:t>http://stkildahistory.org.au/history/foreshore/item/318-brookes-jetty-talk</w:t>
        </w:r>
      </w:hyperlink>
      <w:r>
        <w:t>, accessed 6 July 2018.</w:t>
      </w:r>
    </w:p>
  </w:footnote>
  <w:footnote w:id="42">
    <w:p w14:paraId="4F01CFDD" w14:textId="77777777" w:rsidR="00211D49" w:rsidRDefault="00211D49" w:rsidP="00C10375">
      <w:pPr>
        <w:pStyle w:val="FootnoteText"/>
      </w:pPr>
      <w:r>
        <w:rPr>
          <w:rStyle w:val="FootnoteReference"/>
        </w:rPr>
        <w:footnoteRef/>
      </w:r>
      <w:r>
        <w:t xml:space="preserve"> </w:t>
      </w:r>
      <w:r>
        <w:tab/>
        <w:t xml:space="preserve">Rachael Kiddey, ‘From the ground up: cultural heritage practices as tools for empowerment in the Homeless Heritage project’ in the </w:t>
      </w:r>
      <w:r w:rsidRPr="00EF1389">
        <w:rPr>
          <w:i/>
        </w:rPr>
        <w:t>International Journal of Heritage Studies</w:t>
      </w:r>
      <w:r>
        <w:t xml:space="preserve">, 2018, volume 24, no. 7, p. 694.  </w:t>
      </w:r>
    </w:p>
  </w:footnote>
  <w:footnote w:id="43">
    <w:p w14:paraId="139037B7" w14:textId="77777777" w:rsidR="00211D49" w:rsidRDefault="00211D49" w:rsidP="00023724">
      <w:pPr>
        <w:pStyle w:val="FootnoteText"/>
      </w:pPr>
      <w:r>
        <w:rPr>
          <w:rStyle w:val="FootnoteReference"/>
        </w:rPr>
        <w:footnoteRef/>
      </w:r>
      <w:r>
        <w:t xml:space="preserve"> </w:t>
      </w:r>
      <w:r>
        <w:tab/>
        <w:t xml:space="preserve">Bill Garner, ‘Brookes Jerry – How local history scripts activism’, </w:t>
      </w:r>
      <w:hyperlink r:id="rId15" w:history="1">
        <w:r w:rsidRPr="00A365B0">
          <w:rPr>
            <w:rStyle w:val="Hyperlink"/>
          </w:rPr>
          <w:t>http://stkildahistory.org.au/history/foreshore/item/318-brookes-jetty-talk</w:t>
        </w:r>
      </w:hyperlink>
      <w:r>
        <w:t>, accessed 6 July 2018.</w:t>
      </w:r>
    </w:p>
  </w:footnote>
  <w:footnote w:id="44">
    <w:p w14:paraId="04C91C28" w14:textId="77777777" w:rsidR="00211D49" w:rsidRDefault="00211D49" w:rsidP="000C7780">
      <w:pPr>
        <w:pStyle w:val="FootnoteText"/>
      </w:pPr>
      <w:r>
        <w:rPr>
          <w:rStyle w:val="FootnoteReference"/>
        </w:rPr>
        <w:footnoteRef/>
      </w:r>
      <w:r>
        <w:t xml:space="preserve"> </w:t>
      </w:r>
      <w:r>
        <w:tab/>
      </w:r>
      <w:r>
        <w:fldChar w:fldCharType="begin"/>
      </w:r>
      <w:r>
        <w:instrText xml:space="preserve"> ADDIN EN.CITE &lt;EndNote&gt;&lt;Cite&gt;&lt;Author&gt;UNESCO&lt;/Author&gt;&lt;Year&gt;1972&lt;/Year&gt;&lt;RecNum&gt;1197&lt;/RecNum&gt;&lt;Suffix&gt;Article 1&lt;/Suffix&gt;&lt;DisplayText&gt;UNESCO, ‘Convention Concerning the Protection of the World Cultural and Natural Heritage’, 1972.Article 1&lt;/DisplayText&gt;&lt;record&gt;&lt;rec-number&gt;1197&lt;/rec-number&gt;&lt;foreign-keys&gt;&lt;key app="EN" db-id="w5etts05b9v59ae2pvpv95v5rr2wvpradfxe" timestamp="0"&gt;1197&lt;/key&gt;&lt;/foreign-keys&gt;&lt;ref-type name="Legal Rule or Regulation"&gt;50&lt;/ref-type&gt;&lt;contributors&gt;&lt;authors&gt;&lt;author&gt;UNESCO&lt;/author&gt;&lt;/authors&gt;&lt;/contributors&gt;&lt;titles&gt;&lt;title&gt;Convention concerning the protection of the World Cultural and Natural Heritage&lt;/title&gt;&lt;secondary-title&gt;Adopted by the General Conference at its seventeenth session Paris, 16 november 1972&lt;/secondary-title&gt;&lt;/titles&gt;&lt;dates&gt;&lt;year&gt;1972&lt;/year&gt;&lt;/dates&gt;&lt;urls&gt;&lt;related-urls&gt;&lt;url&gt;http://whc.unesco.org/archive/convention-en.pdf&lt;/url&gt;&lt;/related-urls&gt;&lt;/urls&gt;&lt;access-date&gt;26/11/2012&lt;/access-date&gt;&lt;/record&gt;&lt;/Cite&gt;&lt;/EndNote&gt;</w:instrText>
      </w:r>
      <w:r>
        <w:fldChar w:fldCharType="separate"/>
      </w:r>
      <w:r>
        <w:rPr>
          <w:noProof/>
        </w:rPr>
        <w:t>UNESCO, ‘Convention Concerning the Protection of the World Cultural and Natural Heritage’, 1972.Article 1</w:t>
      </w:r>
      <w:r>
        <w:fldChar w:fldCharType="end"/>
      </w:r>
      <w:r>
        <w:t xml:space="preserve">. </w:t>
      </w:r>
    </w:p>
  </w:footnote>
  <w:footnote w:id="45">
    <w:p w14:paraId="249FD003" w14:textId="77777777" w:rsidR="00211D49" w:rsidRDefault="00211D49" w:rsidP="000C7780">
      <w:pPr>
        <w:pStyle w:val="FootnoteText"/>
      </w:pPr>
      <w:r>
        <w:rPr>
          <w:rStyle w:val="FootnoteReference"/>
        </w:rPr>
        <w:footnoteRef/>
      </w:r>
      <w:r>
        <w:t xml:space="preserve"> </w:t>
      </w:r>
      <w:r>
        <w:tab/>
      </w:r>
      <w:r>
        <w:fldChar w:fldCharType="begin"/>
      </w:r>
      <w:r>
        <w:instrText xml:space="preserve"> ADDIN EN.CITE &lt;EndNote&gt;&lt;Cite&gt;&lt;Author&gt;Johnston&lt;/Author&gt;&lt;Year&gt;2003&lt;/Year&gt;&lt;RecNum&gt;2182&lt;/RecNum&gt;&lt;Pages&gt;5&lt;/Pages&gt;&lt;DisplayText&gt;Chris Johnston et al., ‘Inspirational Landscapes. Volume 1: Project Report,’  Canberra, ACT: Australian Heritage Commission, 2003. p. 5.&lt;/DisplayText&gt;&lt;record&gt;&lt;rec-number&gt;2182&lt;/rec-number&gt;&lt;foreign-keys&gt;&lt;key app="EN" db-id="w5etts05b9v59ae2pvpv95v5rr2wvpradfxe" timestamp="0"&gt;2182&lt;/key&gt;&lt;/foreign-keys&gt;&lt;ref-type name="Book Section"&gt;5&lt;/ref-type&gt;&lt;contributors&gt;&lt;authors&gt;&lt;author&gt;Johnston, Chris&lt;/author&gt;&lt;author&gt;Riches, Libby&lt;/author&gt;&lt;author&gt;McGregor, Ann&lt;/author&gt;&lt;author&gt;Buckley, Kristal&lt;/author&gt;&lt;/authors&gt;&lt;/contributors&gt;&lt;titles&gt;&lt;title&gt;Inspirational Landscapes. Volume 1: Project Report&lt;/title&gt;&lt;/titles&gt;&lt;dates&gt;&lt;year&gt;2003&lt;/year&gt;&lt;/dates&gt;&lt;pub-location&gt;Canberra, ACT&lt;/pub-location&gt;&lt;publisher&gt;Australian Heritage Commission&lt;/publisher&gt;&lt;urls&gt;&lt;/urls&gt;&lt;/record&gt;&lt;/Cite&gt;&lt;/EndNote&gt;</w:instrText>
      </w:r>
      <w:r>
        <w:fldChar w:fldCharType="separate"/>
      </w:r>
      <w:r>
        <w:rPr>
          <w:noProof/>
        </w:rPr>
        <w:t>Chris Johnston et al., ‘Inspirational Landscapes. Volume 1: Project Report,’  Canberra, ACT: Australian Heritage Commission, 2003. p. 5.</w:t>
      </w:r>
      <w:r>
        <w:fldChar w:fldCharType="end"/>
      </w:r>
    </w:p>
  </w:footnote>
  <w:footnote w:id="46">
    <w:p w14:paraId="4AE261A2" w14:textId="77777777" w:rsidR="00211D49" w:rsidRDefault="00211D49" w:rsidP="000C7780">
      <w:pPr>
        <w:pStyle w:val="FootnoteText"/>
      </w:pPr>
      <w:r>
        <w:rPr>
          <w:rStyle w:val="FootnoteReference"/>
        </w:rPr>
        <w:footnoteRef/>
      </w:r>
      <w:r>
        <w:t xml:space="preserve"> </w:t>
      </w:r>
      <w:r>
        <w:tab/>
        <w:t xml:space="preserve">Chris </w:t>
      </w:r>
      <w:r>
        <w:fldChar w:fldCharType="begin"/>
      </w:r>
      <w:r>
        <w:instrText xml:space="preserve"> ADDIN EN.CITE &lt;EndNote&gt;&lt;Cite&gt;&lt;Author&gt;Johnston&lt;/Author&gt;&lt;Year&gt;2003&lt;/Year&gt;&lt;RecNum&gt;2182&lt;/RecNum&gt;&lt;Pages&gt;5&lt;/Pages&gt;&lt;DisplayText&gt;Johnston et al., ‘Inspirational Landscapes. Volume 1: Project Report,’  Canberra, ACT: Australian Heritage Commission, 2003. p. 5.&lt;/DisplayText&gt;&lt;record&gt;&lt;rec-number&gt;2182&lt;/rec-number&gt;&lt;foreign-keys&gt;&lt;key app="EN" db-id="w5etts05b9v59ae2pvpv95v5rr2wvpradfxe" timestamp="0"&gt;2182&lt;/key&gt;&lt;/foreign-keys&gt;&lt;ref-type name="Book Section"&gt;5&lt;/ref-type&gt;&lt;contributors&gt;&lt;authors&gt;&lt;author&gt;Johnston, Chris&lt;/author&gt;&lt;author&gt;Riches, Libby&lt;/author&gt;&lt;author&gt;McGregor, Ann&lt;/author&gt;&lt;author&gt;Buckley, Kristal&lt;/author&gt;&lt;/authors&gt;&lt;/contributors&gt;&lt;titles&gt;&lt;title&gt;Inspirational Landscapes. Volume 1: Project Report&lt;/title&gt;&lt;/titles&gt;&lt;dates&gt;&lt;year&gt;2003&lt;/year&gt;&lt;/dates&gt;&lt;pub-location&gt;Canberra, ACT&lt;/pub-location&gt;&lt;publisher&gt;Australian Heritage Commission&lt;/publisher&gt;&lt;urls&gt;&lt;/urls&gt;&lt;/record&gt;&lt;/Cite&gt;&lt;/EndNote&gt;</w:instrText>
      </w:r>
      <w:r>
        <w:fldChar w:fldCharType="separate"/>
      </w:r>
      <w:r>
        <w:rPr>
          <w:noProof/>
        </w:rPr>
        <w:t xml:space="preserve">Johnston </w:t>
      </w:r>
      <w:r w:rsidRPr="00705FEA">
        <w:rPr>
          <w:i/>
          <w:noProof/>
        </w:rPr>
        <w:t>et al</w:t>
      </w:r>
      <w:r>
        <w:rPr>
          <w:noProof/>
        </w:rPr>
        <w:t>, ‘Inspirational Landscapes. Volume 1: Project Report,’  Canberra, ACT: Australian Heritage Commission, 2003. p. 5.</w:t>
      </w:r>
      <w:r>
        <w:fldChar w:fldCharType="end"/>
      </w:r>
    </w:p>
  </w:footnote>
  <w:footnote w:id="47">
    <w:p w14:paraId="552EBBDA" w14:textId="77777777" w:rsidR="00211D49" w:rsidRDefault="00211D49" w:rsidP="00C35A95">
      <w:pPr>
        <w:pStyle w:val="FootnoteText"/>
      </w:pPr>
      <w:r>
        <w:rPr>
          <w:rStyle w:val="FootnoteReference"/>
        </w:rPr>
        <w:footnoteRef/>
      </w:r>
      <w:r>
        <w:t xml:space="preserve"> </w:t>
      </w:r>
      <w:r>
        <w:tab/>
      </w:r>
      <w:r w:rsidRPr="00124944">
        <w:t>High Riser blog (</w:t>
      </w:r>
      <w:hyperlink r:id="rId16" w:history="1">
        <w:r w:rsidRPr="00124944">
          <w:t>http://highriser.blogspot.com)</w:t>
        </w:r>
      </w:hyperlink>
      <w:r>
        <w:t xml:space="preserve">, 6 December 2016.  </w:t>
      </w:r>
    </w:p>
  </w:footnote>
  <w:footnote w:id="48">
    <w:p w14:paraId="47655ADC" w14:textId="77777777" w:rsidR="00211D49" w:rsidRDefault="00211D49" w:rsidP="005D2168">
      <w:pPr>
        <w:pStyle w:val="FootnoteText"/>
      </w:pPr>
      <w:r>
        <w:rPr>
          <w:rStyle w:val="FootnoteReference"/>
        </w:rPr>
        <w:footnoteRef/>
      </w:r>
      <w:r>
        <w:t xml:space="preserve"> </w:t>
      </w:r>
      <w:r>
        <w:tab/>
        <w:t xml:space="preserve">Elizabeth Auclair and Graham Fairclough, </w:t>
      </w:r>
      <w:r w:rsidRPr="00EF1389">
        <w:rPr>
          <w:i/>
        </w:rPr>
        <w:t>Theory and Practice in Heritage and Sustainability: Between the past and future</w:t>
      </w:r>
      <w:r>
        <w:t xml:space="preserve">, Routledge, 2015, cited by Rachael Kiddey, ‘From the ground up: cultural heritage practices as tools for empowerment in the Homeless Heritage project’ in the </w:t>
      </w:r>
      <w:r w:rsidRPr="00EF1389">
        <w:rPr>
          <w:i/>
        </w:rPr>
        <w:t>International Journal of Heritage Studies</w:t>
      </w:r>
      <w:r>
        <w:t xml:space="preserve">, 2018, volume 24, no. 7, p. 694.  </w:t>
      </w:r>
    </w:p>
  </w:footnote>
  <w:footnote w:id="49">
    <w:p w14:paraId="246F8AF8" w14:textId="27B434AF" w:rsidR="00211D49" w:rsidRPr="00D74CB0" w:rsidRDefault="00211D49">
      <w:pPr>
        <w:pStyle w:val="FootnoteText"/>
        <w:rPr>
          <w:lang w:val="en-US"/>
        </w:rPr>
      </w:pPr>
      <w:r>
        <w:rPr>
          <w:rStyle w:val="FootnoteReference"/>
        </w:rPr>
        <w:footnoteRef/>
      </w:r>
      <w:r>
        <w:t xml:space="preserve"> </w:t>
      </w:r>
      <w:r>
        <w:rPr>
          <w:lang w:val="en-US"/>
        </w:rPr>
        <w:tab/>
      </w:r>
      <w:r>
        <w:t>Statements of Significance for heritage places that are updated as an outcome of recommendations 2 and 4 would need to be  specified in the Schedule to the Heritage Overlay (Heritage Overlay Clause 43.01-5’ ‘Statements of Significance’).  Further, places of social value should be identified in a ‘heritage design guideline’ in the Schedule Heritage Overlay of the CoPP Planning Scheme (Heritage Overlay Clause 43.01-8 ‘Decision guidelines’).  An amendment to the Planning Scheme would be required.</w:t>
      </w:r>
    </w:p>
  </w:footnote>
  <w:footnote w:id="50">
    <w:p w14:paraId="76E39093" w14:textId="77777777" w:rsidR="00211D49" w:rsidRDefault="00211D49" w:rsidP="006037CA">
      <w:pPr>
        <w:pStyle w:val="FootnoteText"/>
      </w:pPr>
      <w:r>
        <w:rPr>
          <w:rStyle w:val="FootnoteReference"/>
        </w:rPr>
        <w:footnoteRef/>
      </w:r>
      <w:r>
        <w:t xml:space="preserve"> </w:t>
      </w:r>
      <w:r>
        <w:tab/>
      </w:r>
      <w:r w:rsidRPr="009076C4">
        <w:t>Port Phillip City Council, Tender No. 2151, Customer Experience Program – Delivery Partner</w:t>
      </w:r>
      <w:r>
        <w:t xml:space="preserve">, June 2018, p. 3. </w:t>
      </w:r>
    </w:p>
  </w:footnote>
  <w:footnote w:id="51">
    <w:p w14:paraId="132E5390" w14:textId="77777777" w:rsidR="00211D49" w:rsidRDefault="00211D49" w:rsidP="006037CA">
      <w:pPr>
        <w:pStyle w:val="FootnoteText"/>
      </w:pPr>
      <w:r>
        <w:rPr>
          <w:rStyle w:val="FootnoteReference"/>
        </w:rPr>
        <w:footnoteRef/>
      </w:r>
      <w:r>
        <w:t xml:space="preserve"> </w:t>
      </w:r>
      <w:r>
        <w:tab/>
        <w:t xml:space="preserve">Datashift, ‘What is Citizen-Generated Data?’, </w:t>
      </w:r>
      <w:hyperlink r:id="rId17" w:history="1">
        <w:r w:rsidRPr="00A35017">
          <w:rPr>
            <w:rStyle w:val="Hyperlink"/>
          </w:rPr>
          <w:t>http://civicus.org/images/ER%20cgd_brief.pdf</w:t>
        </w:r>
      </w:hyperlink>
      <w:r>
        <w:t xml:space="preserve">, accessed 21 August 2018. </w:t>
      </w:r>
    </w:p>
  </w:footnote>
  <w:footnote w:id="52">
    <w:p w14:paraId="2A9F150A" w14:textId="77777777" w:rsidR="00211D49" w:rsidRPr="00AD3A92" w:rsidRDefault="00211D49" w:rsidP="00931001">
      <w:pPr>
        <w:pStyle w:val="FootnoteText"/>
      </w:pPr>
      <w:r>
        <w:rPr>
          <w:rStyle w:val="FootnoteReference"/>
        </w:rPr>
        <w:footnoteRef/>
      </w:r>
      <w:r>
        <w:t xml:space="preserve"> </w:t>
      </w:r>
      <w:r>
        <w:tab/>
        <w:t>A plan prepared by the City of Ballarat in 2017 might be referenced as a guide –</w:t>
      </w:r>
      <w:r w:rsidRPr="00D14FFA">
        <w:rPr>
          <w:i/>
        </w:rPr>
        <w:t>City of Ballarat’s Our People, Culture and Place – A plan to sustain Ballarat’s heritage 2017-30</w:t>
      </w:r>
      <w:r>
        <w:rPr>
          <w:i/>
        </w:rPr>
        <w:t xml:space="preserve">, </w:t>
      </w:r>
      <w:r>
        <w:t xml:space="preserve">see </w:t>
      </w:r>
      <w:hyperlink r:id="rId18" w:history="1">
        <w:r w:rsidRPr="007E1F82">
          <w:rPr>
            <w:rStyle w:val="Hyperlink"/>
          </w:rPr>
          <w:t>www.hulballarat.org.au/cb_pages/ballarat_heritage_plan.php</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DE76C8" w14:textId="33A67355" w:rsidR="00211D49" w:rsidRDefault="00211D4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6EE0A0" w14:textId="13A3437F" w:rsidR="00211D49" w:rsidRDefault="00211D4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662FF0" w14:textId="4BC3DA9C" w:rsidR="00211D49" w:rsidRDefault="00211D4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3606E74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FDEF1B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2A2A1A7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5958194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0F28B342"/>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23EFC2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8"/>
    <w:multiLevelType w:val="singleLevel"/>
    <w:tmpl w:val="6692539A"/>
    <w:lvl w:ilvl="0">
      <w:start w:val="1"/>
      <w:numFmt w:val="decimal"/>
      <w:lvlText w:val="%1."/>
      <w:lvlJc w:val="left"/>
      <w:pPr>
        <w:tabs>
          <w:tab w:val="num" w:pos="360"/>
        </w:tabs>
        <w:ind w:left="360" w:hanging="360"/>
      </w:pPr>
    </w:lvl>
  </w:abstractNum>
  <w:abstractNum w:abstractNumId="7" w15:restartNumberingAfterBreak="0">
    <w:nsid w:val="008E713E"/>
    <w:multiLevelType w:val="hybridMultilevel"/>
    <w:tmpl w:val="16540730"/>
    <w:lvl w:ilvl="0" w:tplc="0756E75A">
      <w:start w:val="4"/>
      <w:numFmt w:val="bullet"/>
      <w:lvlText w:val="-"/>
      <w:lvlJc w:val="left"/>
      <w:pPr>
        <w:ind w:left="1080" w:hanging="360"/>
      </w:pPr>
      <w:rPr>
        <w:rFonts w:ascii="Calibri" w:eastAsia="Times New Roman" w:hAnsi="Calibri" w:cs="Times New Roman"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8" w15:restartNumberingAfterBreak="0">
    <w:nsid w:val="00DE6783"/>
    <w:multiLevelType w:val="multilevel"/>
    <w:tmpl w:val="4DCAB35C"/>
    <w:lvl w:ilvl="0">
      <w:start w:val="1"/>
      <w:numFmt w:val="decimal"/>
      <w:pStyle w:val="Heading1"/>
      <w:lvlText w:val="%1.0"/>
      <w:lvlJc w:val="left"/>
      <w:pPr>
        <w:tabs>
          <w:tab w:val="num" w:pos="851"/>
        </w:tabs>
        <w:ind w:left="851" w:hanging="851"/>
      </w:pPr>
      <w:rPr>
        <w:rFonts w:cs="Times New Roman" w:hint="default"/>
        <w:b/>
        <w:caps w:val="0"/>
        <w:smallCaps w:val="0"/>
        <w:strike w:val="0"/>
        <w:dstrike w:val="0"/>
        <w:noProof w:val="0"/>
        <w:vanish w:val="0"/>
        <w:color w:val="000000"/>
        <w:spacing w:val="0"/>
        <w:position w:val="0"/>
        <w:u w:val="none"/>
        <w:vertAlign w:val="baseline"/>
        <w:em w:val="none"/>
      </w:rPr>
    </w:lvl>
    <w:lvl w:ilvl="1">
      <w:start w:val="1"/>
      <w:numFmt w:val="decimal"/>
      <w:pStyle w:val="Heading2"/>
      <w:lvlText w:val="%1.%2"/>
      <w:lvlJc w:val="left"/>
      <w:pPr>
        <w:tabs>
          <w:tab w:val="num" w:pos="9356"/>
        </w:tabs>
        <w:ind w:left="9356" w:hanging="851"/>
      </w:pPr>
      <w:rPr>
        <w:rFonts w:cs="Times New Roman" w:hint="default"/>
        <w:b/>
        <w:caps w:val="0"/>
        <w:smallCaps w:val="0"/>
        <w:strike w:val="0"/>
        <w:dstrike w:val="0"/>
        <w:noProof w:val="0"/>
        <w:vanish w:val="0"/>
        <w:color w:val="000000"/>
        <w:spacing w:val="0"/>
        <w:position w:val="0"/>
        <w:u w:val="none"/>
        <w:vertAlign w:val="baseline"/>
        <w:em w:val="none"/>
      </w:rPr>
    </w:lvl>
    <w:lvl w:ilvl="2">
      <w:start w:val="1"/>
      <w:numFmt w:val="decimal"/>
      <w:pStyle w:val="Heading3"/>
      <w:lvlText w:val="%1.%2.%3"/>
      <w:lvlJc w:val="left"/>
      <w:pPr>
        <w:tabs>
          <w:tab w:val="num" w:pos="2128"/>
        </w:tabs>
        <w:ind w:left="2128" w:hanging="851"/>
      </w:pPr>
      <w:rPr>
        <w:rFonts w:ascii="Calibri" w:hAnsi="Calibri" w:hint="default"/>
        <w:b w:val="0"/>
        <w:i/>
        <w:caps w:val="0"/>
        <w:strike w:val="0"/>
        <w:dstrike w:val="0"/>
        <w:vanish w:val="0"/>
        <w:color w:val="000000"/>
        <w:sz w:val="20"/>
        <w:szCs w:val="18"/>
        <w:vertAlign w:val="baseline"/>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9" w15:restartNumberingAfterBreak="0">
    <w:nsid w:val="229C71BB"/>
    <w:multiLevelType w:val="hybridMultilevel"/>
    <w:tmpl w:val="BD0CEEBE"/>
    <w:lvl w:ilvl="0" w:tplc="627A4786">
      <w:start w:val="1"/>
      <w:numFmt w:val="decimal"/>
      <w:pStyle w:val="list1"/>
      <w:lvlText w:val="%1."/>
      <w:lvlJc w:val="left"/>
      <w:pPr>
        <w:tabs>
          <w:tab w:val="num" w:pos="1004"/>
        </w:tabs>
        <w:ind w:left="1004" w:hanging="360"/>
      </w:pPr>
      <w:rPr>
        <w:rFonts w:asciiTheme="minorHAnsi" w:eastAsia="Times New Roman" w:hAnsiTheme="minorHAnsi" w:cs="Times New Roman"/>
      </w:rPr>
    </w:lvl>
    <w:lvl w:ilvl="1" w:tplc="0409000F">
      <w:start w:val="1"/>
      <w:numFmt w:val="decimal"/>
      <w:lvlText w:val="%2."/>
      <w:lvlJc w:val="left"/>
      <w:pPr>
        <w:tabs>
          <w:tab w:val="num" w:pos="1724"/>
        </w:tabs>
        <w:ind w:left="1724" w:hanging="360"/>
      </w:pPr>
    </w:lvl>
    <w:lvl w:ilvl="2" w:tplc="04090005" w:tentative="1">
      <w:start w:val="1"/>
      <w:numFmt w:val="bullet"/>
      <w:lvlText w:val=""/>
      <w:lvlJc w:val="left"/>
      <w:pPr>
        <w:tabs>
          <w:tab w:val="num" w:pos="2444"/>
        </w:tabs>
        <w:ind w:left="2444" w:hanging="360"/>
      </w:pPr>
      <w:rPr>
        <w:rFonts w:ascii="Wingdings" w:hAnsi="Wingdings" w:hint="default"/>
      </w:rPr>
    </w:lvl>
    <w:lvl w:ilvl="3" w:tplc="04090001" w:tentative="1">
      <w:start w:val="1"/>
      <w:numFmt w:val="bullet"/>
      <w:lvlText w:val=""/>
      <w:lvlJc w:val="left"/>
      <w:pPr>
        <w:tabs>
          <w:tab w:val="num" w:pos="3164"/>
        </w:tabs>
        <w:ind w:left="3164" w:hanging="360"/>
      </w:pPr>
      <w:rPr>
        <w:rFonts w:ascii="Symbol" w:hAnsi="Symbol" w:hint="default"/>
      </w:rPr>
    </w:lvl>
    <w:lvl w:ilvl="4" w:tplc="04090003" w:tentative="1">
      <w:start w:val="1"/>
      <w:numFmt w:val="bullet"/>
      <w:lvlText w:val="o"/>
      <w:lvlJc w:val="left"/>
      <w:pPr>
        <w:tabs>
          <w:tab w:val="num" w:pos="3884"/>
        </w:tabs>
        <w:ind w:left="3884" w:hanging="360"/>
      </w:pPr>
      <w:rPr>
        <w:rFonts w:ascii="Courier New" w:hAnsi="Courier New" w:hint="default"/>
      </w:rPr>
    </w:lvl>
    <w:lvl w:ilvl="5" w:tplc="04090005" w:tentative="1">
      <w:start w:val="1"/>
      <w:numFmt w:val="bullet"/>
      <w:lvlText w:val=""/>
      <w:lvlJc w:val="left"/>
      <w:pPr>
        <w:tabs>
          <w:tab w:val="num" w:pos="4604"/>
        </w:tabs>
        <w:ind w:left="4604" w:hanging="360"/>
      </w:pPr>
      <w:rPr>
        <w:rFonts w:ascii="Wingdings" w:hAnsi="Wingdings" w:hint="default"/>
      </w:rPr>
    </w:lvl>
    <w:lvl w:ilvl="6" w:tplc="04090001" w:tentative="1">
      <w:start w:val="1"/>
      <w:numFmt w:val="bullet"/>
      <w:lvlText w:val=""/>
      <w:lvlJc w:val="left"/>
      <w:pPr>
        <w:tabs>
          <w:tab w:val="num" w:pos="5324"/>
        </w:tabs>
        <w:ind w:left="5324" w:hanging="360"/>
      </w:pPr>
      <w:rPr>
        <w:rFonts w:ascii="Symbol" w:hAnsi="Symbol" w:hint="default"/>
      </w:rPr>
    </w:lvl>
    <w:lvl w:ilvl="7" w:tplc="04090003" w:tentative="1">
      <w:start w:val="1"/>
      <w:numFmt w:val="bullet"/>
      <w:lvlText w:val="o"/>
      <w:lvlJc w:val="left"/>
      <w:pPr>
        <w:tabs>
          <w:tab w:val="num" w:pos="6044"/>
        </w:tabs>
        <w:ind w:left="6044" w:hanging="360"/>
      </w:pPr>
      <w:rPr>
        <w:rFonts w:ascii="Courier New" w:hAnsi="Courier New" w:hint="default"/>
      </w:rPr>
    </w:lvl>
    <w:lvl w:ilvl="8" w:tplc="04090005" w:tentative="1">
      <w:start w:val="1"/>
      <w:numFmt w:val="bullet"/>
      <w:lvlText w:val=""/>
      <w:lvlJc w:val="left"/>
      <w:pPr>
        <w:tabs>
          <w:tab w:val="num" w:pos="6764"/>
        </w:tabs>
        <w:ind w:left="6764" w:hanging="360"/>
      </w:pPr>
      <w:rPr>
        <w:rFonts w:ascii="Wingdings" w:hAnsi="Wingdings" w:hint="default"/>
      </w:rPr>
    </w:lvl>
  </w:abstractNum>
  <w:abstractNum w:abstractNumId="10" w15:restartNumberingAfterBreak="0">
    <w:nsid w:val="42EE6EB2"/>
    <w:multiLevelType w:val="hybridMultilevel"/>
    <w:tmpl w:val="FC10BFD8"/>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1" w15:restartNumberingAfterBreak="0">
    <w:nsid w:val="647E10CA"/>
    <w:multiLevelType w:val="hybridMultilevel"/>
    <w:tmpl w:val="59EC2224"/>
    <w:lvl w:ilvl="0" w:tplc="413E64E6">
      <w:start w:val="1"/>
      <w:numFmt w:val="bullet"/>
      <w:lvlText w:val="-"/>
      <w:lvlJc w:val="left"/>
      <w:pPr>
        <w:ind w:left="644" w:hanging="360"/>
      </w:pPr>
      <w:rPr>
        <w:rFonts w:ascii="Calibri" w:eastAsia="Times New Roman" w:hAnsi="Calibri" w:cs="Times New Roman"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2" w15:restartNumberingAfterBreak="0">
    <w:nsid w:val="65DF6239"/>
    <w:multiLevelType w:val="hybridMultilevel"/>
    <w:tmpl w:val="5B4270BE"/>
    <w:lvl w:ilvl="0" w:tplc="88001232">
      <w:start w:val="1"/>
      <w:numFmt w:val="bullet"/>
      <w:pStyle w:val="BulletLis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66E7030A"/>
    <w:multiLevelType w:val="multilevel"/>
    <w:tmpl w:val="D6749AE8"/>
    <w:lvl w:ilvl="0">
      <w:start w:val="1"/>
      <w:numFmt w:val="bullet"/>
      <w:pStyle w:val="ListBullet"/>
      <w:lvlText w:val="»"/>
      <w:lvlJc w:val="left"/>
      <w:pPr>
        <w:tabs>
          <w:tab w:val="num" w:pos="284"/>
        </w:tabs>
        <w:ind w:left="284" w:hanging="284"/>
      </w:pPr>
      <w:rPr>
        <w:rFonts w:ascii="Tahoma" w:hAnsi="Tahoma" w:cs="Times New Roman" w:hint="default"/>
        <w:b w:val="0"/>
        <w:i w:val="0"/>
        <w:color w:val="auto"/>
        <w:sz w:val="20"/>
      </w:rPr>
    </w:lvl>
    <w:lvl w:ilvl="1">
      <w:start w:val="1"/>
      <w:numFmt w:val="bullet"/>
      <w:pStyle w:val="ListBullet2"/>
      <w:lvlText w:val="&gt;"/>
      <w:lvlJc w:val="left"/>
      <w:pPr>
        <w:tabs>
          <w:tab w:val="num" w:pos="567"/>
        </w:tabs>
        <w:ind w:left="567" w:hanging="283"/>
      </w:pPr>
      <w:rPr>
        <w:rFonts w:ascii="Arial" w:hAnsi="Arial" w:cs="Times New Roman" w:hint="default"/>
        <w:color w:val="000000" w:themeColor="text1"/>
        <w:sz w:val="18"/>
      </w:rPr>
    </w:lvl>
    <w:lvl w:ilvl="2">
      <w:start w:val="1"/>
      <w:numFmt w:val="bullet"/>
      <w:pStyle w:val="ListBullet3"/>
      <w:lvlText w:val="–"/>
      <w:lvlJc w:val="left"/>
      <w:pPr>
        <w:tabs>
          <w:tab w:val="num" w:pos="851"/>
        </w:tabs>
        <w:ind w:left="851" w:hanging="284"/>
      </w:pPr>
      <w:rPr>
        <w:rFonts w:ascii="Calibri" w:hAnsi="Calibri" w:hint="default"/>
        <w:color w:val="auto"/>
      </w:rPr>
    </w:lvl>
    <w:lvl w:ilvl="3">
      <w:start w:val="1"/>
      <w:numFmt w:val="none"/>
      <w:suff w:val="nothing"/>
      <w:lvlText w:val=""/>
      <w:lvlJc w:val="left"/>
      <w:pPr>
        <w:ind w:left="0" w:firstLine="0"/>
      </w:pPr>
      <w:rPr>
        <w:color w:val="auto"/>
      </w:rPr>
    </w:lvl>
    <w:lvl w:ilvl="4">
      <w:start w:val="1"/>
      <w:numFmt w:val="none"/>
      <w:suff w:val="nothing"/>
      <w:lvlText w:val=""/>
      <w:lvlJc w:val="left"/>
      <w:pPr>
        <w:ind w:left="0" w:firstLine="0"/>
      </w:pPr>
      <w:rPr>
        <w:color w:val="auto"/>
      </w:rPr>
    </w:lvl>
    <w:lvl w:ilvl="5">
      <w:start w:val="1"/>
      <w:numFmt w:val="none"/>
      <w:suff w:val="nothing"/>
      <w:lvlText w:val=""/>
      <w:lvlJc w:val="left"/>
      <w:pPr>
        <w:ind w:left="0" w:firstLine="0"/>
      </w:pPr>
      <w:rPr>
        <w:color w:val="auto"/>
      </w:rPr>
    </w:lvl>
    <w:lvl w:ilvl="6">
      <w:start w:val="1"/>
      <w:numFmt w:val="none"/>
      <w:suff w:val="nothing"/>
      <w:lvlText w:val=""/>
      <w:lvlJc w:val="left"/>
      <w:pPr>
        <w:ind w:left="0" w:firstLine="0"/>
      </w:pPr>
      <w:rPr>
        <w:color w:val="auto"/>
      </w:rPr>
    </w:lvl>
    <w:lvl w:ilvl="7">
      <w:start w:val="1"/>
      <w:numFmt w:val="none"/>
      <w:suff w:val="nothing"/>
      <w:lvlText w:val="%8"/>
      <w:lvlJc w:val="left"/>
      <w:pPr>
        <w:ind w:left="0" w:firstLine="0"/>
      </w:pPr>
    </w:lvl>
    <w:lvl w:ilvl="8">
      <w:start w:val="1"/>
      <w:numFmt w:val="none"/>
      <w:suff w:val="nothing"/>
      <w:lvlText w:val="%9"/>
      <w:lvlJc w:val="left"/>
      <w:pPr>
        <w:ind w:left="0" w:firstLine="0"/>
      </w:pPr>
    </w:lvl>
  </w:abstractNum>
  <w:abstractNum w:abstractNumId="14" w15:restartNumberingAfterBreak="0">
    <w:nsid w:val="7F680D6D"/>
    <w:multiLevelType w:val="hybridMultilevel"/>
    <w:tmpl w:val="0A8AB732"/>
    <w:lvl w:ilvl="0" w:tplc="93128F0C">
      <w:start w:val="3"/>
      <w:numFmt w:val="bullet"/>
      <w:lvlText w:val="-"/>
      <w:lvlJc w:val="left"/>
      <w:pPr>
        <w:ind w:left="720" w:hanging="360"/>
      </w:pPr>
      <w:rPr>
        <w:rFonts w:ascii="Calibri" w:eastAsia="Times New Roman" w:hAnsi="Calibri"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8"/>
  </w:num>
  <w:num w:numId="2">
    <w:abstractNumId w:val="9"/>
  </w:num>
  <w:num w:numId="3">
    <w:abstractNumId w:val="12"/>
  </w:num>
  <w:num w:numId="4">
    <w:abstractNumId w:val="7"/>
  </w:num>
  <w:num w:numId="5">
    <w:abstractNumId w:val="11"/>
  </w:num>
  <w:num w:numId="6">
    <w:abstractNumId w:val="14"/>
  </w:num>
  <w:num w:numId="7">
    <w:abstractNumId w:val="13"/>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7"/>
  </w:num>
  <w:num w:numId="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
    <w:lvlOverride w:ilvl="0">
      <w:startOverride w:val="1"/>
    </w:lvlOverride>
  </w:num>
  <w:num w:numId="11">
    <w:abstractNumId w:val="9"/>
  </w:num>
  <w:num w:numId="1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9"/>
  </w:num>
  <w:num w:numId="14">
    <w:abstractNumId w:val="5"/>
  </w:num>
  <w:num w:numId="15">
    <w:abstractNumId w:val="4"/>
  </w:num>
  <w:num w:numId="16">
    <w:abstractNumId w:val="6"/>
  </w:num>
  <w:num w:numId="17">
    <w:abstractNumId w:val="3"/>
  </w:num>
  <w:num w:numId="18">
    <w:abstractNumId w:val="2"/>
  </w:num>
  <w:num w:numId="19">
    <w:abstractNumId w:val="1"/>
  </w:num>
  <w:num w:numId="20">
    <w:abstractNumId w:val="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n-AU" w:vendorID="64" w:dllVersion="5" w:nlCheck="1" w:checkStyle="1"/>
  <w:activeWritingStyle w:appName="MSWord" w:lang="en-GB" w:vendorID="64" w:dllVersion="5" w:nlCheck="1" w:checkStyle="1"/>
  <w:activeWritingStyle w:appName="MSWord" w:lang="en-US" w:vendorID="64" w:dllVersion="5" w:nlCheck="1" w:checkStyle="1"/>
  <w:activeWritingStyle w:appName="MSWord" w:lang="en-AU" w:vendorID="64" w:dllVersion="6" w:nlCheck="1" w:checkStyle="1"/>
  <w:activeWritingStyle w:appName="MSWord" w:lang="en-US" w:vendorID="64" w:dllVersion="6" w:nlCheck="1" w:checkStyle="1"/>
  <w:activeWritingStyle w:appName="MSWord" w:lang="fr-FR" w:vendorID="64" w:dllVersion="6" w:nlCheck="1" w:checkStyle="1"/>
  <w:activeWritingStyle w:appName="MSWord" w:lang="en-GB" w:vendorID="64" w:dllVersion="6" w:nlCheck="1" w:checkStyle="1"/>
  <w:activeWritingStyle w:appName="MSWord" w:lang="en-AU" w:vendorID="64" w:dllVersion="0" w:nlCheck="1" w:checkStyle="0"/>
  <w:activeWritingStyle w:appName="MSWord" w:lang="en-GB" w:vendorID="64" w:dllVersion="0" w:nlCheck="1" w:checkStyle="0"/>
  <w:activeWritingStyle w:appName="MSWord" w:lang="en-US" w:vendorID="64" w:dllVersion="0" w:nlCheck="1" w:checkStyle="0"/>
  <w:activeWritingStyle w:appName="MSWord" w:lang="en-AU" w:vendorID="8" w:dllVersion="513" w:checkStyle="1"/>
  <w:stylePaneFormatFilter w:val="1F04" w:allStyles="0" w:customStyles="0" w:latentStyles="1" w:stylesInUse="0" w:headingStyles="0" w:numberingStyles="0" w:tableStyles="0" w:directFormattingOnRuns="1" w:directFormattingOnParagraphs="1" w:directFormattingOnNumbering="1" w:directFormattingOnTables="1" w:clearFormatting="1" w:top3HeadingStyles="0" w:visibleStyles="0" w:alternateStyleNames="0"/>
  <w:mailMerge>
    <w:mainDocumentType w:val="email"/>
    <w:dataType w:val="textFile"/>
    <w:activeRecord w:val="-1"/>
  </w:mailMerge>
  <w:defaultTabStop w:val="720"/>
  <w:evenAndOddHeaders/>
  <w:drawingGridHorizontalSpacing w:val="90"/>
  <w:displayHorizontalDrawingGridEvery w:val="0"/>
  <w:displayVerticalDrawingGridEvery w:val="0"/>
  <w:noPunctuationKerning/>
  <w:characterSpacingControl w:val="doNotCompress"/>
  <w:hdrShapeDefaults>
    <o:shapedefaults v:ext="edit" spidmax="90113"/>
  </w:hdrShapeDefaults>
  <w:footnotePr>
    <w:numRestart w:val="eachSect"/>
    <w:footnote w:id="-1"/>
    <w:footnote w:id="0"/>
  </w:footnotePr>
  <w:endnotePr>
    <w:numFmt w:val="decimal"/>
    <w:numRestart w:val="eachSect"/>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1648"/>
    <w:rsid w:val="00001830"/>
    <w:rsid w:val="000026FE"/>
    <w:rsid w:val="0000493C"/>
    <w:rsid w:val="000059DC"/>
    <w:rsid w:val="00011C97"/>
    <w:rsid w:val="00012AC8"/>
    <w:rsid w:val="00017533"/>
    <w:rsid w:val="00020866"/>
    <w:rsid w:val="00020CAD"/>
    <w:rsid w:val="000225EB"/>
    <w:rsid w:val="00023724"/>
    <w:rsid w:val="00030531"/>
    <w:rsid w:val="00030887"/>
    <w:rsid w:val="00032D71"/>
    <w:rsid w:val="0003440F"/>
    <w:rsid w:val="00034897"/>
    <w:rsid w:val="00034C1E"/>
    <w:rsid w:val="000357C8"/>
    <w:rsid w:val="00040AD5"/>
    <w:rsid w:val="0004154E"/>
    <w:rsid w:val="0004267C"/>
    <w:rsid w:val="00042CDE"/>
    <w:rsid w:val="000439CB"/>
    <w:rsid w:val="00044ECD"/>
    <w:rsid w:val="00045B1B"/>
    <w:rsid w:val="00053C36"/>
    <w:rsid w:val="00053D37"/>
    <w:rsid w:val="00054900"/>
    <w:rsid w:val="00056BEA"/>
    <w:rsid w:val="00057145"/>
    <w:rsid w:val="00057899"/>
    <w:rsid w:val="00070379"/>
    <w:rsid w:val="000719E6"/>
    <w:rsid w:val="000723EE"/>
    <w:rsid w:val="00073164"/>
    <w:rsid w:val="000732C6"/>
    <w:rsid w:val="0007536F"/>
    <w:rsid w:val="000777AB"/>
    <w:rsid w:val="00080C00"/>
    <w:rsid w:val="00081295"/>
    <w:rsid w:val="00082D28"/>
    <w:rsid w:val="00084FF1"/>
    <w:rsid w:val="00085232"/>
    <w:rsid w:val="00087392"/>
    <w:rsid w:val="00090702"/>
    <w:rsid w:val="00093DCD"/>
    <w:rsid w:val="00097CCD"/>
    <w:rsid w:val="000A296D"/>
    <w:rsid w:val="000A4DE7"/>
    <w:rsid w:val="000A5EB4"/>
    <w:rsid w:val="000A6021"/>
    <w:rsid w:val="000A65AC"/>
    <w:rsid w:val="000A7C5C"/>
    <w:rsid w:val="000B02E9"/>
    <w:rsid w:val="000B15C7"/>
    <w:rsid w:val="000B23B6"/>
    <w:rsid w:val="000B315E"/>
    <w:rsid w:val="000B36EC"/>
    <w:rsid w:val="000B3C1D"/>
    <w:rsid w:val="000B5C69"/>
    <w:rsid w:val="000B6246"/>
    <w:rsid w:val="000B6BFB"/>
    <w:rsid w:val="000C03BD"/>
    <w:rsid w:val="000C04EC"/>
    <w:rsid w:val="000C1337"/>
    <w:rsid w:val="000C26AB"/>
    <w:rsid w:val="000C4AB8"/>
    <w:rsid w:val="000C6C7D"/>
    <w:rsid w:val="000C7780"/>
    <w:rsid w:val="000C7FD7"/>
    <w:rsid w:val="000D175F"/>
    <w:rsid w:val="000D2097"/>
    <w:rsid w:val="000D5955"/>
    <w:rsid w:val="000D6DF2"/>
    <w:rsid w:val="000D7E7D"/>
    <w:rsid w:val="000D7FBA"/>
    <w:rsid w:val="000E2F88"/>
    <w:rsid w:val="000E48C9"/>
    <w:rsid w:val="000E67AF"/>
    <w:rsid w:val="000F05E3"/>
    <w:rsid w:val="000F07B2"/>
    <w:rsid w:val="000F17AC"/>
    <w:rsid w:val="000F20F3"/>
    <w:rsid w:val="000F266C"/>
    <w:rsid w:val="000F3380"/>
    <w:rsid w:val="000F4D0B"/>
    <w:rsid w:val="000F53DF"/>
    <w:rsid w:val="000F5AC5"/>
    <w:rsid w:val="0010226C"/>
    <w:rsid w:val="0010231B"/>
    <w:rsid w:val="0010589A"/>
    <w:rsid w:val="00106846"/>
    <w:rsid w:val="00107947"/>
    <w:rsid w:val="00112D33"/>
    <w:rsid w:val="00114985"/>
    <w:rsid w:val="00115F68"/>
    <w:rsid w:val="00116219"/>
    <w:rsid w:val="0011624E"/>
    <w:rsid w:val="00117B3F"/>
    <w:rsid w:val="00117B88"/>
    <w:rsid w:val="00124944"/>
    <w:rsid w:val="001259AE"/>
    <w:rsid w:val="00125BFD"/>
    <w:rsid w:val="00126D1F"/>
    <w:rsid w:val="001276B7"/>
    <w:rsid w:val="00127A67"/>
    <w:rsid w:val="001313D6"/>
    <w:rsid w:val="00133092"/>
    <w:rsid w:val="00133300"/>
    <w:rsid w:val="00134FC8"/>
    <w:rsid w:val="00135962"/>
    <w:rsid w:val="001359E2"/>
    <w:rsid w:val="00136544"/>
    <w:rsid w:val="00136E3D"/>
    <w:rsid w:val="001370C5"/>
    <w:rsid w:val="00140B6D"/>
    <w:rsid w:val="00144218"/>
    <w:rsid w:val="0014443A"/>
    <w:rsid w:val="001514C7"/>
    <w:rsid w:val="00151E2B"/>
    <w:rsid w:val="00152C50"/>
    <w:rsid w:val="00155D4F"/>
    <w:rsid w:val="0015614A"/>
    <w:rsid w:val="0015689A"/>
    <w:rsid w:val="00156EB4"/>
    <w:rsid w:val="00161948"/>
    <w:rsid w:val="00163E58"/>
    <w:rsid w:val="00165A5A"/>
    <w:rsid w:val="001667C8"/>
    <w:rsid w:val="0017104B"/>
    <w:rsid w:val="00171F09"/>
    <w:rsid w:val="001741AA"/>
    <w:rsid w:val="00174BA3"/>
    <w:rsid w:val="00175F92"/>
    <w:rsid w:val="00176D91"/>
    <w:rsid w:val="001806F8"/>
    <w:rsid w:val="00181FEA"/>
    <w:rsid w:val="001826F6"/>
    <w:rsid w:val="0018275C"/>
    <w:rsid w:val="001833B4"/>
    <w:rsid w:val="001850DE"/>
    <w:rsid w:val="0018613B"/>
    <w:rsid w:val="00190375"/>
    <w:rsid w:val="00190B6A"/>
    <w:rsid w:val="0019371C"/>
    <w:rsid w:val="00193C80"/>
    <w:rsid w:val="00194ECC"/>
    <w:rsid w:val="001950C4"/>
    <w:rsid w:val="00195378"/>
    <w:rsid w:val="001A0EDD"/>
    <w:rsid w:val="001A1AEA"/>
    <w:rsid w:val="001A1E90"/>
    <w:rsid w:val="001A2040"/>
    <w:rsid w:val="001A2261"/>
    <w:rsid w:val="001A2C7B"/>
    <w:rsid w:val="001A3640"/>
    <w:rsid w:val="001A427A"/>
    <w:rsid w:val="001A58E6"/>
    <w:rsid w:val="001A5A5A"/>
    <w:rsid w:val="001A5E8D"/>
    <w:rsid w:val="001A6383"/>
    <w:rsid w:val="001B0354"/>
    <w:rsid w:val="001B0C6C"/>
    <w:rsid w:val="001B0CC6"/>
    <w:rsid w:val="001B2B4C"/>
    <w:rsid w:val="001B30C1"/>
    <w:rsid w:val="001B31E1"/>
    <w:rsid w:val="001B3436"/>
    <w:rsid w:val="001B3AF2"/>
    <w:rsid w:val="001B3F85"/>
    <w:rsid w:val="001B426D"/>
    <w:rsid w:val="001B4783"/>
    <w:rsid w:val="001B4E1B"/>
    <w:rsid w:val="001B66CD"/>
    <w:rsid w:val="001B70FA"/>
    <w:rsid w:val="001C0EDA"/>
    <w:rsid w:val="001C1537"/>
    <w:rsid w:val="001C2CAB"/>
    <w:rsid w:val="001C425C"/>
    <w:rsid w:val="001C4D0D"/>
    <w:rsid w:val="001C74D3"/>
    <w:rsid w:val="001D0C78"/>
    <w:rsid w:val="001D2E6E"/>
    <w:rsid w:val="001D2F40"/>
    <w:rsid w:val="001D3FA6"/>
    <w:rsid w:val="001D494D"/>
    <w:rsid w:val="001D4FE3"/>
    <w:rsid w:val="001D63F2"/>
    <w:rsid w:val="001D700C"/>
    <w:rsid w:val="001D7AA4"/>
    <w:rsid w:val="001E2D66"/>
    <w:rsid w:val="001E2F19"/>
    <w:rsid w:val="001E2F6E"/>
    <w:rsid w:val="001E3843"/>
    <w:rsid w:val="001E3F30"/>
    <w:rsid w:val="001E5AAB"/>
    <w:rsid w:val="001E60AC"/>
    <w:rsid w:val="001E6FB3"/>
    <w:rsid w:val="001E78F8"/>
    <w:rsid w:val="001F2313"/>
    <w:rsid w:val="001F27AE"/>
    <w:rsid w:val="001F378C"/>
    <w:rsid w:val="001F3D82"/>
    <w:rsid w:val="001F480B"/>
    <w:rsid w:val="001F61D5"/>
    <w:rsid w:val="001F6261"/>
    <w:rsid w:val="001F6E8B"/>
    <w:rsid w:val="0020176C"/>
    <w:rsid w:val="00201892"/>
    <w:rsid w:val="00202006"/>
    <w:rsid w:val="002037B7"/>
    <w:rsid w:val="00206056"/>
    <w:rsid w:val="00206408"/>
    <w:rsid w:val="002066AF"/>
    <w:rsid w:val="00210911"/>
    <w:rsid w:val="00211175"/>
    <w:rsid w:val="00211D49"/>
    <w:rsid w:val="002130AC"/>
    <w:rsid w:val="0021463C"/>
    <w:rsid w:val="00214AA1"/>
    <w:rsid w:val="00215B94"/>
    <w:rsid w:val="00216EF9"/>
    <w:rsid w:val="00217609"/>
    <w:rsid w:val="002177A5"/>
    <w:rsid w:val="002200FF"/>
    <w:rsid w:val="00220106"/>
    <w:rsid w:val="002203E0"/>
    <w:rsid w:val="002213D5"/>
    <w:rsid w:val="0022276B"/>
    <w:rsid w:val="00224ECF"/>
    <w:rsid w:val="00225F8A"/>
    <w:rsid w:val="00227172"/>
    <w:rsid w:val="00227EA7"/>
    <w:rsid w:val="00231943"/>
    <w:rsid w:val="002328F9"/>
    <w:rsid w:val="00234428"/>
    <w:rsid w:val="00235D74"/>
    <w:rsid w:val="0023681F"/>
    <w:rsid w:val="002405E7"/>
    <w:rsid w:val="00240B1B"/>
    <w:rsid w:val="00240CB7"/>
    <w:rsid w:val="00241333"/>
    <w:rsid w:val="00242743"/>
    <w:rsid w:val="00242E3D"/>
    <w:rsid w:val="00243B0B"/>
    <w:rsid w:val="0024412F"/>
    <w:rsid w:val="0024496D"/>
    <w:rsid w:val="00244ADA"/>
    <w:rsid w:val="00245CF6"/>
    <w:rsid w:val="0024607E"/>
    <w:rsid w:val="002463EC"/>
    <w:rsid w:val="00246D5C"/>
    <w:rsid w:val="00247312"/>
    <w:rsid w:val="00247B12"/>
    <w:rsid w:val="00247EA7"/>
    <w:rsid w:val="0025022E"/>
    <w:rsid w:val="0025093A"/>
    <w:rsid w:val="00251147"/>
    <w:rsid w:val="0025245B"/>
    <w:rsid w:val="0025260D"/>
    <w:rsid w:val="002529D3"/>
    <w:rsid w:val="00253705"/>
    <w:rsid w:val="0025443C"/>
    <w:rsid w:val="00254460"/>
    <w:rsid w:val="00255E78"/>
    <w:rsid w:val="00260B99"/>
    <w:rsid w:val="00260E9B"/>
    <w:rsid w:val="0026228E"/>
    <w:rsid w:val="00263DD5"/>
    <w:rsid w:val="00264165"/>
    <w:rsid w:val="00270C4C"/>
    <w:rsid w:val="00271DC0"/>
    <w:rsid w:val="00271F12"/>
    <w:rsid w:val="00272D5F"/>
    <w:rsid w:val="00275BDC"/>
    <w:rsid w:val="00280361"/>
    <w:rsid w:val="00280429"/>
    <w:rsid w:val="0028436F"/>
    <w:rsid w:val="0028450C"/>
    <w:rsid w:val="002862AB"/>
    <w:rsid w:val="00286922"/>
    <w:rsid w:val="0029003D"/>
    <w:rsid w:val="00290581"/>
    <w:rsid w:val="002957CA"/>
    <w:rsid w:val="002A0B6C"/>
    <w:rsid w:val="002A0C4B"/>
    <w:rsid w:val="002A3331"/>
    <w:rsid w:val="002A5514"/>
    <w:rsid w:val="002A5E2A"/>
    <w:rsid w:val="002A64BB"/>
    <w:rsid w:val="002A72F5"/>
    <w:rsid w:val="002A78B1"/>
    <w:rsid w:val="002B0322"/>
    <w:rsid w:val="002B3700"/>
    <w:rsid w:val="002B3C6F"/>
    <w:rsid w:val="002B4EA0"/>
    <w:rsid w:val="002B5890"/>
    <w:rsid w:val="002B668F"/>
    <w:rsid w:val="002C492E"/>
    <w:rsid w:val="002C5232"/>
    <w:rsid w:val="002C56D2"/>
    <w:rsid w:val="002D0B85"/>
    <w:rsid w:val="002D3659"/>
    <w:rsid w:val="002D51E7"/>
    <w:rsid w:val="002D543E"/>
    <w:rsid w:val="002D6193"/>
    <w:rsid w:val="002D71E2"/>
    <w:rsid w:val="002E0BA0"/>
    <w:rsid w:val="002E0C59"/>
    <w:rsid w:val="002E24E4"/>
    <w:rsid w:val="002E2EA8"/>
    <w:rsid w:val="002E341D"/>
    <w:rsid w:val="002E41C3"/>
    <w:rsid w:val="002E4420"/>
    <w:rsid w:val="002E5D6B"/>
    <w:rsid w:val="002F0144"/>
    <w:rsid w:val="002F1EF3"/>
    <w:rsid w:val="002F2997"/>
    <w:rsid w:val="002F3309"/>
    <w:rsid w:val="002F3C08"/>
    <w:rsid w:val="002F4CEB"/>
    <w:rsid w:val="002F7413"/>
    <w:rsid w:val="003007C8"/>
    <w:rsid w:val="00303971"/>
    <w:rsid w:val="00303AF8"/>
    <w:rsid w:val="00304269"/>
    <w:rsid w:val="00304F4A"/>
    <w:rsid w:val="00306C6B"/>
    <w:rsid w:val="00306D54"/>
    <w:rsid w:val="00307843"/>
    <w:rsid w:val="003126DE"/>
    <w:rsid w:val="00322143"/>
    <w:rsid w:val="00322ED3"/>
    <w:rsid w:val="003235A1"/>
    <w:rsid w:val="0032424A"/>
    <w:rsid w:val="00324254"/>
    <w:rsid w:val="003248C3"/>
    <w:rsid w:val="00325B63"/>
    <w:rsid w:val="003263BE"/>
    <w:rsid w:val="00326E46"/>
    <w:rsid w:val="003313DD"/>
    <w:rsid w:val="00334AB6"/>
    <w:rsid w:val="00335BFA"/>
    <w:rsid w:val="00336B02"/>
    <w:rsid w:val="00337049"/>
    <w:rsid w:val="00337671"/>
    <w:rsid w:val="00341592"/>
    <w:rsid w:val="00341C2E"/>
    <w:rsid w:val="00342402"/>
    <w:rsid w:val="0034381D"/>
    <w:rsid w:val="00344C18"/>
    <w:rsid w:val="00345B7F"/>
    <w:rsid w:val="00346EEB"/>
    <w:rsid w:val="00351425"/>
    <w:rsid w:val="00352C2D"/>
    <w:rsid w:val="00355160"/>
    <w:rsid w:val="003563F1"/>
    <w:rsid w:val="00361130"/>
    <w:rsid w:val="00361EB4"/>
    <w:rsid w:val="00364DD2"/>
    <w:rsid w:val="0036715A"/>
    <w:rsid w:val="00367B29"/>
    <w:rsid w:val="00367C92"/>
    <w:rsid w:val="00371DB9"/>
    <w:rsid w:val="00371E97"/>
    <w:rsid w:val="00372D9E"/>
    <w:rsid w:val="003739EE"/>
    <w:rsid w:val="00373C0B"/>
    <w:rsid w:val="00375929"/>
    <w:rsid w:val="00377129"/>
    <w:rsid w:val="003779FC"/>
    <w:rsid w:val="00377BD5"/>
    <w:rsid w:val="00380B94"/>
    <w:rsid w:val="00380CC6"/>
    <w:rsid w:val="00380EE3"/>
    <w:rsid w:val="00381EC1"/>
    <w:rsid w:val="00383A0A"/>
    <w:rsid w:val="003846B8"/>
    <w:rsid w:val="00385239"/>
    <w:rsid w:val="00385791"/>
    <w:rsid w:val="00385E26"/>
    <w:rsid w:val="003863A7"/>
    <w:rsid w:val="00387A20"/>
    <w:rsid w:val="00390625"/>
    <w:rsid w:val="00392AD7"/>
    <w:rsid w:val="00392F2D"/>
    <w:rsid w:val="00393137"/>
    <w:rsid w:val="0039332F"/>
    <w:rsid w:val="00393A8B"/>
    <w:rsid w:val="00395CD7"/>
    <w:rsid w:val="003A4061"/>
    <w:rsid w:val="003B1D1D"/>
    <w:rsid w:val="003B600F"/>
    <w:rsid w:val="003B6012"/>
    <w:rsid w:val="003B7758"/>
    <w:rsid w:val="003C2D03"/>
    <w:rsid w:val="003C4E11"/>
    <w:rsid w:val="003C6279"/>
    <w:rsid w:val="003C693C"/>
    <w:rsid w:val="003C6F4C"/>
    <w:rsid w:val="003C6F5E"/>
    <w:rsid w:val="003C6F98"/>
    <w:rsid w:val="003C7129"/>
    <w:rsid w:val="003D06B6"/>
    <w:rsid w:val="003D2FAB"/>
    <w:rsid w:val="003D35F9"/>
    <w:rsid w:val="003D369B"/>
    <w:rsid w:val="003D419E"/>
    <w:rsid w:val="003D4CB4"/>
    <w:rsid w:val="003D4CF5"/>
    <w:rsid w:val="003D610B"/>
    <w:rsid w:val="003D686D"/>
    <w:rsid w:val="003E06E5"/>
    <w:rsid w:val="003E105F"/>
    <w:rsid w:val="003E1A5D"/>
    <w:rsid w:val="003E2F1C"/>
    <w:rsid w:val="003E3EE5"/>
    <w:rsid w:val="003E639B"/>
    <w:rsid w:val="003E7C99"/>
    <w:rsid w:val="003F12C6"/>
    <w:rsid w:val="003F591E"/>
    <w:rsid w:val="003F687D"/>
    <w:rsid w:val="0040008C"/>
    <w:rsid w:val="00401888"/>
    <w:rsid w:val="00405885"/>
    <w:rsid w:val="00407A6A"/>
    <w:rsid w:val="0041059D"/>
    <w:rsid w:val="0041159B"/>
    <w:rsid w:val="0041189E"/>
    <w:rsid w:val="00411AAD"/>
    <w:rsid w:val="0041267B"/>
    <w:rsid w:val="0041302F"/>
    <w:rsid w:val="0041324B"/>
    <w:rsid w:val="00413C62"/>
    <w:rsid w:val="004179DC"/>
    <w:rsid w:val="00417C09"/>
    <w:rsid w:val="00417E3F"/>
    <w:rsid w:val="00421394"/>
    <w:rsid w:val="004219CD"/>
    <w:rsid w:val="00427D94"/>
    <w:rsid w:val="00433CE9"/>
    <w:rsid w:val="00434E68"/>
    <w:rsid w:val="004350AC"/>
    <w:rsid w:val="0043524F"/>
    <w:rsid w:val="00435B7A"/>
    <w:rsid w:val="0044047B"/>
    <w:rsid w:val="004408FB"/>
    <w:rsid w:val="004444D9"/>
    <w:rsid w:val="00445AD6"/>
    <w:rsid w:val="00446210"/>
    <w:rsid w:val="00446B05"/>
    <w:rsid w:val="00446C75"/>
    <w:rsid w:val="00450F05"/>
    <w:rsid w:val="004518BA"/>
    <w:rsid w:val="00452E0B"/>
    <w:rsid w:val="00453342"/>
    <w:rsid w:val="00454DD9"/>
    <w:rsid w:val="004564F6"/>
    <w:rsid w:val="0045657C"/>
    <w:rsid w:val="004622BA"/>
    <w:rsid w:val="00462CB2"/>
    <w:rsid w:val="0046378E"/>
    <w:rsid w:val="00464515"/>
    <w:rsid w:val="0046570C"/>
    <w:rsid w:val="00467ACA"/>
    <w:rsid w:val="00467CD0"/>
    <w:rsid w:val="00470C63"/>
    <w:rsid w:val="004717B0"/>
    <w:rsid w:val="00471A48"/>
    <w:rsid w:val="00474357"/>
    <w:rsid w:val="00475C19"/>
    <w:rsid w:val="004776FD"/>
    <w:rsid w:val="00480EDB"/>
    <w:rsid w:val="004832D0"/>
    <w:rsid w:val="004852D6"/>
    <w:rsid w:val="004853DE"/>
    <w:rsid w:val="004857B8"/>
    <w:rsid w:val="00486DC0"/>
    <w:rsid w:val="00487F95"/>
    <w:rsid w:val="00493F6F"/>
    <w:rsid w:val="00494B07"/>
    <w:rsid w:val="00496309"/>
    <w:rsid w:val="004972A1"/>
    <w:rsid w:val="00497C04"/>
    <w:rsid w:val="004A05C7"/>
    <w:rsid w:val="004A11EB"/>
    <w:rsid w:val="004A1737"/>
    <w:rsid w:val="004A222D"/>
    <w:rsid w:val="004A4212"/>
    <w:rsid w:val="004A4DC3"/>
    <w:rsid w:val="004A4F7B"/>
    <w:rsid w:val="004A5F12"/>
    <w:rsid w:val="004A6E82"/>
    <w:rsid w:val="004A7D2B"/>
    <w:rsid w:val="004B0209"/>
    <w:rsid w:val="004B372C"/>
    <w:rsid w:val="004B3A98"/>
    <w:rsid w:val="004B3DFF"/>
    <w:rsid w:val="004B4895"/>
    <w:rsid w:val="004B49CC"/>
    <w:rsid w:val="004B59A7"/>
    <w:rsid w:val="004C0FA5"/>
    <w:rsid w:val="004C32B0"/>
    <w:rsid w:val="004C4B60"/>
    <w:rsid w:val="004C7C1C"/>
    <w:rsid w:val="004D1F7A"/>
    <w:rsid w:val="004D3378"/>
    <w:rsid w:val="004D3848"/>
    <w:rsid w:val="004D3B6A"/>
    <w:rsid w:val="004D439C"/>
    <w:rsid w:val="004D48E3"/>
    <w:rsid w:val="004D4CBC"/>
    <w:rsid w:val="004D64D1"/>
    <w:rsid w:val="004D7E70"/>
    <w:rsid w:val="004E1811"/>
    <w:rsid w:val="004E2327"/>
    <w:rsid w:val="004E32D3"/>
    <w:rsid w:val="004E498E"/>
    <w:rsid w:val="004E4BD9"/>
    <w:rsid w:val="004E53A4"/>
    <w:rsid w:val="004E595C"/>
    <w:rsid w:val="004E70AC"/>
    <w:rsid w:val="004E75C6"/>
    <w:rsid w:val="004E76C6"/>
    <w:rsid w:val="004E7F18"/>
    <w:rsid w:val="004F379E"/>
    <w:rsid w:val="004F59A3"/>
    <w:rsid w:val="004F68E4"/>
    <w:rsid w:val="004F6B35"/>
    <w:rsid w:val="004F75D0"/>
    <w:rsid w:val="0050037B"/>
    <w:rsid w:val="00500771"/>
    <w:rsid w:val="00500E1A"/>
    <w:rsid w:val="00503828"/>
    <w:rsid w:val="00510A73"/>
    <w:rsid w:val="00512EEC"/>
    <w:rsid w:val="005131C9"/>
    <w:rsid w:val="005133BF"/>
    <w:rsid w:val="005147CB"/>
    <w:rsid w:val="00514D73"/>
    <w:rsid w:val="00514DD4"/>
    <w:rsid w:val="00516B01"/>
    <w:rsid w:val="00517A2F"/>
    <w:rsid w:val="00521703"/>
    <w:rsid w:val="00521FBC"/>
    <w:rsid w:val="00522625"/>
    <w:rsid w:val="00524616"/>
    <w:rsid w:val="00526E8F"/>
    <w:rsid w:val="0052784B"/>
    <w:rsid w:val="005308E2"/>
    <w:rsid w:val="005316B5"/>
    <w:rsid w:val="005317B2"/>
    <w:rsid w:val="00533E47"/>
    <w:rsid w:val="005351F7"/>
    <w:rsid w:val="00535821"/>
    <w:rsid w:val="005373AD"/>
    <w:rsid w:val="005413B8"/>
    <w:rsid w:val="00545588"/>
    <w:rsid w:val="00547034"/>
    <w:rsid w:val="00547938"/>
    <w:rsid w:val="00552132"/>
    <w:rsid w:val="00553D5E"/>
    <w:rsid w:val="0055437A"/>
    <w:rsid w:val="0055590A"/>
    <w:rsid w:val="0056148F"/>
    <w:rsid w:val="00561D77"/>
    <w:rsid w:val="005654B1"/>
    <w:rsid w:val="00565F6B"/>
    <w:rsid w:val="00571F60"/>
    <w:rsid w:val="00572C8C"/>
    <w:rsid w:val="00574DBC"/>
    <w:rsid w:val="005763C1"/>
    <w:rsid w:val="0057790C"/>
    <w:rsid w:val="00580B62"/>
    <w:rsid w:val="00581263"/>
    <w:rsid w:val="0058201F"/>
    <w:rsid w:val="00587212"/>
    <w:rsid w:val="005904CA"/>
    <w:rsid w:val="005908A4"/>
    <w:rsid w:val="00591C57"/>
    <w:rsid w:val="00592101"/>
    <w:rsid w:val="005923A2"/>
    <w:rsid w:val="00592C20"/>
    <w:rsid w:val="00592E57"/>
    <w:rsid w:val="00593347"/>
    <w:rsid w:val="0059427F"/>
    <w:rsid w:val="0059667E"/>
    <w:rsid w:val="00597321"/>
    <w:rsid w:val="005A1702"/>
    <w:rsid w:val="005A230E"/>
    <w:rsid w:val="005A28B9"/>
    <w:rsid w:val="005A3229"/>
    <w:rsid w:val="005A4636"/>
    <w:rsid w:val="005A5978"/>
    <w:rsid w:val="005A5BB3"/>
    <w:rsid w:val="005A61D8"/>
    <w:rsid w:val="005A6F60"/>
    <w:rsid w:val="005A7512"/>
    <w:rsid w:val="005A787A"/>
    <w:rsid w:val="005B137B"/>
    <w:rsid w:val="005B1A01"/>
    <w:rsid w:val="005B2B66"/>
    <w:rsid w:val="005B7E4D"/>
    <w:rsid w:val="005C0762"/>
    <w:rsid w:val="005C218E"/>
    <w:rsid w:val="005C275F"/>
    <w:rsid w:val="005C3B2D"/>
    <w:rsid w:val="005C4A23"/>
    <w:rsid w:val="005C681E"/>
    <w:rsid w:val="005D15DD"/>
    <w:rsid w:val="005D2168"/>
    <w:rsid w:val="005D3643"/>
    <w:rsid w:val="005D5CFD"/>
    <w:rsid w:val="005D5DB3"/>
    <w:rsid w:val="005D69E6"/>
    <w:rsid w:val="005D7874"/>
    <w:rsid w:val="005E0F17"/>
    <w:rsid w:val="005E164F"/>
    <w:rsid w:val="005E1750"/>
    <w:rsid w:val="005E3125"/>
    <w:rsid w:val="005E31C2"/>
    <w:rsid w:val="005E3E5C"/>
    <w:rsid w:val="005E56DD"/>
    <w:rsid w:val="005E6288"/>
    <w:rsid w:val="005E647F"/>
    <w:rsid w:val="005E66B4"/>
    <w:rsid w:val="005E7410"/>
    <w:rsid w:val="005E7B3B"/>
    <w:rsid w:val="005E7B3D"/>
    <w:rsid w:val="005F061A"/>
    <w:rsid w:val="005F220A"/>
    <w:rsid w:val="005F2470"/>
    <w:rsid w:val="005F3C91"/>
    <w:rsid w:val="005F42D6"/>
    <w:rsid w:val="005F4677"/>
    <w:rsid w:val="005F61F3"/>
    <w:rsid w:val="005F6B91"/>
    <w:rsid w:val="00601FBF"/>
    <w:rsid w:val="006037CA"/>
    <w:rsid w:val="00604402"/>
    <w:rsid w:val="006047A3"/>
    <w:rsid w:val="00604F90"/>
    <w:rsid w:val="006064D5"/>
    <w:rsid w:val="00606666"/>
    <w:rsid w:val="00606A62"/>
    <w:rsid w:val="006109C2"/>
    <w:rsid w:val="006109D0"/>
    <w:rsid w:val="00612C3B"/>
    <w:rsid w:val="00614926"/>
    <w:rsid w:val="0061518B"/>
    <w:rsid w:val="0061721E"/>
    <w:rsid w:val="0062442A"/>
    <w:rsid w:val="006276B5"/>
    <w:rsid w:val="006306A1"/>
    <w:rsid w:val="00630B5C"/>
    <w:rsid w:val="00631B75"/>
    <w:rsid w:val="006339D8"/>
    <w:rsid w:val="00634C22"/>
    <w:rsid w:val="0063552A"/>
    <w:rsid w:val="00635A1E"/>
    <w:rsid w:val="006366E6"/>
    <w:rsid w:val="00636D92"/>
    <w:rsid w:val="0063725E"/>
    <w:rsid w:val="00637D45"/>
    <w:rsid w:val="0064077A"/>
    <w:rsid w:val="006418C5"/>
    <w:rsid w:val="00641F72"/>
    <w:rsid w:val="006426E4"/>
    <w:rsid w:val="00642C98"/>
    <w:rsid w:val="0064680A"/>
    <w:rsid w:val="00654358"/>
    <w:rsid w:val="00654F95"/>
    <w:rsid w:val="00654FFF"/>
    <w:rsid w:val="006559E3"/>
    <w:rsid w:val="00656373"/>
    <w:rsid w:val="00656460"/>
    <w:rsid w:val="006571A7"/>
    <w:rsid w:val="0065791C"/>
    <w:rsid w:val="00663356"/>
    <w:rsid w:val="00664961"/>
    <w:rsid w:val="0066661B"/>
    <w:rsid w:val="006677E5"/>
    <w:rsid w:val="006711A4"/>
    <w:rsid w:val="00671BE8"/>
    <w:rsid w:val="00673396"/>
    <w:rsid w:val="006746BB"/>
    <w:rsid w:val="00674E05"/>
    <w:rsid w:val="00674E55"/>
    <w:rsid w:val="006773F3"/>
    <w:rsid w:val="00680B8A"/>
    <w:rsid w:val="00682083"/>
    <w:rsid w:val="006841FA"/>
    <w:rsid w:val="00684D16"/>
    <w:rsid w:val="006856CF"/>
    <w:rsid w:val="00690B43"/>
    <w:rsid w:val="00690FE0"/>
    <w:rsid w:val="00692F1B"/>
    <w:rsid w:val="006A0230"/>
    <w:rsid w:val="006A1911"/>
    <w:rsid w:val="006A232D"/>
    <w:rsid w:val="006A2FFD"/>
    <w:rsid w:val="006A36D5"/>
    <w:rsid w:val="006A47F9"/>
    <w:rsid w:val="006A4C59"/>
    <w:rsid w:val="006A6B1E"/>
    <w:rsid w:val="006A6CA7"/>
    <w:rsid w:val="006A7585"/>
    <w:rsid w:val="006B1228"/>
    <w:rsid w:val="006B1481"/>
    <w:rsid w:val="006B4276"/>
    <w:rsid w:val="006B6943"/>
    <w:rsid w:val="006B7F12"/>
    <w:rsid w:val="006C0E10"/>
    <w:rsid w:val="006C331A"/>
    <w:rsid w:val="006C39B6"/>
    <w:rsid w:val="006C55CE"/>
    <w:rsid w:val="006C5727"/>
    <w:rsid w:val="006C6EA9"/>
    <w:rsid w:val="006D1D44"/>
    <w:rsid w:val="006D62DA"/>
    <w:rsid w:val="006E080B"/>
    <w:rsid w:val="006E17B7"/>
    <w:rsid w:val="006E23F5"/>
    <w:rsid w:val="006E38DF"/>
    <w:rsid w:val="006E498E"/>
    <w:rsid w:val="006E5532"/>
    <w:rsid w:val="006E6387"/>
    <w:rsid w:val="006F038A"/>
    <w:rsid w:val="006F0E64"/>
    <w:rsid w:val="006F40A8"/>
    <w:rsid w:val="006F4381"/>
    <w:rsid w:val="006F51E0"/>
    <w:rsid w:val="006F59AB"/>
    <w:rsid w:val="00703625"/>
    <w:rsid w:val="00703A30"/>
    <w:rsid w:val="00705F44"/>
    <w:rsid w:val="00705FEA"/>
    <w:rsid w:val="00710E29"/>
    <w:rsid w:val="00711C96"/>
    <w:rsid w:val="00712623"/>
    <w:rsid w:val="007128A8"/>
    <w:rsid w:val="007144F1"/>
    <w:rsid w:val="00715321"/>
    <w:rsid w:val="0071699E"/>
    <w:rsid w:val="00720B29"/>
    <w:rsid w:val="00720E3E"/>
    <w:rsid w:val="00721C9C"/>
    <w:rsid w:val="00722326"/>
    <w:rsid w:val="007226D0"/>
    <w:rsid w:val="00724F21"/>
    <w:rsid w:val="00725C62"/>
    <w:rsid w:val="00727478"/>
    <w:rsid w:val="00730464"/>
    <w:rsid w:val="00730DE3"/>
    <w:rsid w:val="00736316"/>
    <w:rsid w:val="00736DCE"/>
    <w:rsid w:val="0073736C"/>
    <w:rsid w:val="00737B73"/>
    <w:rsid w:val="00742A3E"/>
    <w:rsid w:val="00743D42"/>
    <w:rsid w:val="007477F6"/>
    <w:rsid w:val="00751373"/>
    <w:rsid w:val="00751623"/>
    <w:rsid w:val="00751A0B"/>
    <w:rsid w:val="007525E1"/>
    <w:rsid w:val="00752CC3"/>
    <w:rsid w:val="00753431"/>
    <w:rsid w:val="0075605E"/>
    <w:rsid w:val="00756B28"/>
    <w:rsid w:val="007601B2"/>
    <w:rsid w:val="0076144E"/>
    <w:rsid w:val="00761C19"/>
    <w:rsid w:val="00762465"/>
    <w:rsid w:val="0076330C"/>
    <w:rsid w:val="00763C09"/>
    <w:rsid w:val="007640E3"/>
    <w:rsid w:val="007642A1"/>
    <w:rsid w:val="007652D9"/>
    <w:rsid w:val="00765354"/>
    <w:rsid w:val="00765BB0"/>
    <w:rsid w:val="00765F2D"/>
    <w:rsid w:val="007661A4"/>
    <w:rsid w:val="00766721"/>
    <w:rsid w:val="00766BB3"/>
    <w:rsid w:val="00766D94"/>
    <w:rsid w:val="007676FD"/>
    <w:rsid w:val="00770049"/>
    <w:rsid w:val="007709AB"/>
    <w:rsid w:val="00771B10"/>
    <w:rsid w:val="00773A66"/>
    <w:rsid w:val="007778E0"/>
    <w:rsid w:val="00780319"/>
    <w:rsid w:val="00780F8A"/>
    <w:rsid w:val="00781505"/>
    <w:rsid w:val="00784F41"/>
    <w:rsid w:val="00785FD5"/>
    <w:rsid w:val="00786C1E"/>
    <w:rsid w:val="007903E3"/>
    <w:rsid w:val="00790605"/>
    <w:rsid w:val="00790E70"/>
    <w:rsid w:val="0079279D"/>
    <w:rsid w:val="007948B9"/>
    <w:rsid w:val="00795E14"/>
    <w:rsid w:val="00796861"/>
    <w:rsid w:val="00796FE8"/>
    <w:rsid w:val="007970C6"/>
    <w:rsid w:val="007A0493"/>
    <w:rsid w:val="007A1261"/>
    <w:rsid w:val="007A5425"/>
    <w:rsid w:val="007A6594"/>
    <w:rsid w:val="007A7867"/>
    <w:rsid w:val="007B2E82"/>
    <w:rsid w:val="007B3EF7"/>
    <w:rsid w:val="007C15CF"/>
    <w:rsid w:val="007C2C82"/>
    <w:rsid w:val="007C3FA1"/>
    <w:rsid w:val="007C7A55"/>
    <w:rsid w:val="007C7F68"/>
    <w:rsid w:val="007D1AD3"/>
    <w:rsid w:val="007D3675"/>
    <w:rsid w:val="007D46DC"/>
    <w:rsid w:val="007D5165"/>
    <w:rsid w:val="007D58AC"/>
    <w:rsid w:val="007D5C80"/>
    <w:rsid w:val="007E093C"/>
    <w:rsid w:val="007E11B7"/>
    <w:rsid w:val="007E1C98"/>
    <w:rsid w:val="007E1FF5"/>
    <w:rsid w:val="007E2C6C"/>
    <w:rsid w:val="007E404E"/>
    <w:rsid w:val="007E5293"/>
    <w:rsid w:val="007F03FD"/>
    <w:rsid w:val="007F16A4"/>
    <w:rsid w:val="007F2CD4"/>
    <w:rsid w:val="007F76B2"/>
    <w:rsid w:val="0080012E"/>
    <w:rsid w:val="0080031B"/>
    <w:rsid w:val="008019F3"/>
    <w:rsid w:val="00801F09"/>
    <w:rsid w:val="00802082"/>
    <w:rsid w:val="00804E3A"/>
    <w:rsid w:val="00805A99"/>
    <w:rsid w:val="00806A51"/>
    <w:rsid w:val="00810898"/>
    <w:rsid w:val="00811258"/>
    <w:rsid w:val="008173CD"/>
    <w:rsid w:val="00817EC4"/>
    <w:rsid w:val="00820718"/>
    <w:rsid w:val="00825A6D"/>
    <w:rsid w:val="0082658A"/>
    <w:rsid w:val="008347B1"/>
    <w:rsid w:val="00835404"/>
    <w:rsid w:val="00837BF6"/>
    <w:rsid w:val="008426EC"/>
    <w:rsid w:val="00844F37"/>
    <w:rsid w:val="00845970"/>
    <w:rsid w:val="008467A0"/>
    <w:rsid w:val="0084693F"/>
    <w:rsid w:val="00850A8D"/>
    <w:rsid w:val="00853593"/>
    <w:rsid w:val="00854B99"/>
    <w:rsid w:val="00855A5C"/>
    <w:rsid w:val="0085796E"/>
    <w:rsid w:val="00861EC9"/>
    <w:rsid w:val="008626BF"/>
    <w:rsid w:val="008634D3"/>
    <w:rsid w:val="00865144"/>
    <w:rsid w:val="0086585A"/>
    <w:rsid w:val="0086675D"/>
    <w:rsid w:val="008676DD"/>
    <w:rsid w:val="0086784F"/>
    <w:rsid w:val="00867BA1"/>
    <w:rsid w:val="00870FF4"/>
    <w:rsid w:val="008727F5"/>
    <w:rsid w:val="008728B1"/>
    <w:rsid w:val="00872A93"/>
    <w:rsid w:val="00874C73"/>
    <w:rsid w:val="00875F31"/>
    <w:rsid w:val="008774FA"/>
    <w:rsid w:val="00880175"/>
    <w:rsid w:val="00880AC8"/>
    <w:rsid w:val="008819E4"/>
    <w:rsid w:val="00881C1E"/>
    <w:rsid w:val="00883888"/>
    <w:rsid w:val="00884231"/>
    <w:rsid w:val="008850C8"/>
    <w:rsid w:val="00890380"/>
    <w:rsid w:val="008921A0"/>
    <w:rsid w:val="008952E5"/>
    <w:rsid w:val="00896D36"/>
    <w:rsid w:val="00897905"/>
    <w:rsid w:val="008A099F"/>
    <w:rsid w:val="008A1A04"/>
    <w:rsid w:val="008A2E5F"/>
    <w:rsid w:val="008A3A92"/>
    <w:rsid w:val="008A573A"/>
    <w:rsid w:val="008A744D"/>
    <w:rsid w:val="008B190D"/>
    <w:rsid w:val="008B291D"/>
    <w:rsid w:val="008B2D16"/>
    <w:rsid w:val="008B36D2"/>
    <w:rsid w:val="008B3B8F"/>
    <w:rsid w:val="008B430B"/>
    <w:rsid w:val="008B6408"/>
    <w:rsid w:val="008B659C"/>
    <w:rsid w:val="008B6C62"/>
    <w:rsid w:val="008B6DC7"/>
    <w:rsid w:val="008C0BBB"/>
    <w:rsid w:val="008C0C29"/>
    <w:rsid w:val="008C33E9"/>
    <w:rsid w:val="008C3861"/>
    <w:rsid w:val="008C4A2E"/>
    <w:rsid w:val="008C5234"/>
    <w:rsid w:val="008C7097"/>
    <w:rsid w:val="008D0137"/>
    <w:rsid w:val="008D11DD"/>
    <w:rsid w:val="008D3608"/>
    <w:rsid w:val="008D6658"/>
    <w:rsid w:val="008D69AB"/>
    <w:rsid w:val="008D73C6"/>
    <w:rsid w:val="008E0AFD"/>
    <w:rsid w:val="008E11FC"/>
    <w:rsid w:val="008E29F0"/>
    <w:rsid w:val="008E548C"/>
    <w:rsid w:val="008E58AC"/>
    <w:rsid w:val="008E6740"/>
    <w:rsid w:val="008F0BB0"/>
    <w:rsid w:val="008F1838"/>
    <w:rsid w:val="008F43F9"/>
    <w:rsid w:val="008F4479"/>
    <w:rsid w:val="008F564E"/>
    <w:rsid w:val="008F6416"/>
    <w:rsid w:val="00902622"/>
    <w:rsid w:val="0090342E"/>
    <w:rsid w:val="00903AA8"/>
    <w:rsid w:val="00904A65"/>
    <w:rsid w:val="009076C4"/>
    <w:rsid w:val="0091190B"/>
    <w:rsid w:val="00912F82"/>
    <w:rsid w:val="009132E6"/>
    <w:rsid w:val="00913E4F"/>
    <w:rsid w:val="00913F1C"/>
    <w:rsid w:val="00914521"/>
    <w:rsid w:val="009169DB"/>
    <w:rsid w:val="0092075E"/>
    <w:rsid w:val="009220C8"/>
    <w:rsid w:val="00922CE8"/>
    <w:rsid w:val="0092328D"/>
    <w:rsid w:val="00924BD5"/>
    <w:rsid w:val="00930D23"/>
    <w:rsid w:val="00931001"/>
    <w:rsid w:val="009311BD"/>
    <w:rsid w:val="0093196D"/>
    <w:rsid w:val="00934E2E"/>
    <w:rsid w:val="00935015"/>
    <w:rsid w:val="00941BF1"/>
    <w:rsid w:val="009425DF"/>
    <w:rsid w:val="00942EE7"/>
    <w:rsid w:val="009459A9"/>
    <w:rsid w:val="00950547"/>
    <w:rsid w:val="009507E6"/>
    <w:rsid w:val="00951F04"/>
    <w:rsid w:val="00952D87"/>
    <w:rsid w:val="00955216"/>
    <w:rsid w:val="00955A49"/>
    <w:rsid w:val="0095797A"/>
    <w:rsid w:val="00960A7E"/>
    <w:rsid w:val="00961629"/>
    <w:rsid w:val="009623A2"/>
    <w:rsid w:val="009642EA"/>
    <w:rsid w:val="0096484D"/>
    <w:rsid w:val="00964DF6"/>
    <w:rsid w:val="00966E09"/>
    <w:rsid w:val="00970412"/>
    <w:rsid w:val="00970695"/>
    <w:rsid w:val="00970784"/>
    <w:rsid w:val="00972757"/>
    <w:rsid w:val="00972E96"/>
    <w:rsid w:val="00973256"/>
    <w:rsid w:val="009751A8"/>
    <w:rsid w:val="00975424"/>
    <w:rsid w:val="009806DE"/>
    <w:rsid w:val="009817CC"/>
    <w:rsid w:val="00982181"/>
    <w:rsid w:val="009839C8"/>
    <w:rsid w:val="00983B4D"/>
    <w:rsid w:val="009847B5"/>
    <w:rsid w:val="00985126"/>
    <w:rsid w:val="00987304"/>
    <w:rsid w:val="009873FF"/>
    <w:rsid w:val="00991ACD"/>
    <w:rsid w:val="00992237"/>
    <w:rsid w:val="00993C89"/>
    <w:rsid w:val="00995248"/>
    <w:rsid w:val="00997A74"/>
    <w:rsid w:val="009A154C"/>
    <w:rsid w:val="009A625C"/>
    <w:rsid w:val="009A6DDF"/>
    <w:rsid w:val="009A73CF"/>
    <w:rsid w:val="009A76BD"/>
    <w:rsid w:val="009A7793"/>
    <w:rsid w:val="009B0C0B"/>
    <w:rsid w:val="009B1CCA"/>
    <w:rsid w:val="009B2DFD"/>
    <w:rsid w:val="009B5508"/>
    <w:rsid w:val="009C0045"/>
    <w:rsid w:val="009C2677"/>
    <w:rsid w:val="009C2AC8"/>
    <w:rsid w:val="009C331F"/>
    <w:rsid w:val="009C4F2B"/>
    <w:rsid w:val="009C6E3E"/>
    <w:rsid w:val="009C79F8"/>
    <w:rsid w:val="009D256D"/>
    <w:rsid w:val="009D5BAE"/>
    <w:rsid w:val="009D7DBE"/>
    <w:rsid w:val="009E1C70"/>
    <w:rsid w:val="009E2EBA"/>
    <w:rsid w:val="009E7357"/>
    <w:rsid w:val="009E7933"/>
    <w:rsid w:val="009E7F44"/>
    <w:rsid w:val="009F3551"/>
    <w:rsid w:val="009F42C6"/>
    <w:rsid w:val="009F51CA"/>
    <w:rsid w:val="009F7150"/>
    <w:rsid w:val="00A009F9"/>
    <w:rsid w:val="00A0207B"/>
    <w:rsid w:val="00A02760"/>
    <w:rsid w:val="00A02A70"/>
    <w:rsid w:val="00A0326C"/>
    <w:rsid w:val="00A044AC"/>
    <w:rsid w:val="00A06FF6"/>
    <w:rsid w:val="00A0711F"/>
    <w:rsid w:val="00A10BAB"/>
    <w:rsid w:val="00A1123A"/>
    <w:rsid w:val="00A11429"/>
    <w:rsid w:val="00A11A61"/>
    <w:rsid w:val="00A12098"/>
    <w:rsid w:val="00A1221B"/>
    <w:rsid w:val="00A12CB5"/>
    <w:rsid w:val="00A12CF4"/>
    <w:rsid w:val="00A12EA3"/>
    <w:rsid w:val="00A1629E"/>
    <w:rsid w:val="00A173F4"/>
    <w:rsid w:val="00A17F58"/>
    <w:rsid w:val="00A200A9"/>
    <w:rsid w:val="00A23738"/>
    <w:rsid w:val="00A24A42"/>
    <w:rsid w:val="00A251C5"/>
    <w:rsid w:val="00A269D0"/>
    <w:rsid w:val="00A277D3"/>
    <w:rsid w:val="00A30368"/>
    <w:rsid w:val="00A31AA3"/>
    <w:rsid w:val="00A349CD"/>
    <w:rsid w:val="00A3510C"/>
    <w:rsid w:val="00A351DE"/>
    <w:rsid w:val="00A35539"/>
    <w:rsid w:val="00A366C9"/>
    <w:rsid w:val="00A368BC"/>
    <w:rsid w:val="00A36F82"/>
    <w:rsid w:val="00A40A76"/>
    <w:rsid w:val="00A42286"/>
    <w:rsid w:val="00A42D7E"/>
    <w:rsid w:val="00A434B9"/>
    <w:rsid w:val="00A4374E"/>
    <w:rsid w:val="00A44E82"/>
    <w:rsid w:val="00A44F85"/>
    <w:rsid w:val="00A45A7A"/>
    <w:rsid w:val="00A461B3"/>
    <w:rsid w:val="00A502F9"/>
    <w:rsid w:val="00A508D5"/>
    <w:rsid w:val="00A52244"/>
    <w:rsid w:val="00A538E4"/>
    <w:rsid w:val="00A5590B"/>
    <w:rsid w:val="00A55A9B"/>
    <w:rsid w:val="00A57776"/>
    <w:rsid w:val="00A6028F"/>
    <w:rsid w:val="00A6084A"/>
    <w:rsid w:val="00A60F6D"/>
    <w:rsid w:val="00A61BC7"/>
    <w:rsid w:val="00A621BC"/>
    <w:rsid w:val="00A633BC"/>
    <w:rsid w:val="00A65CBD"/>
    <w:rsid w:val="00A71C41"/>
    <w:rsid w:val="00A72CD4"/>
    <w:rsid w:val="00A747CE"/>
    <w:rsid w:val="00A813FF"/>
    <w:rsid w:val="00A81B11"/>
    <w:rsid w:val="00A81B64"/>
    <w:rsid w:val="00A81C07"/>
    <w:rsid w:val="00A835E5"/>
    <w:rsid w:val="00A878E1"/>
    <w:rsid w:val="00A87DEC"/>
    <w:rsid w:val="00A908EA"/>
    <w:rsid w:val="00A920B1"/>
    <w:rsid w:val="00A9237F"/>
    <w:rsid w:val="00A9266A"/>
    <w:rsid w:val="00A9282D"/>
    <w:rsid w:val="00A93486"/>
    <w:rsid w:val="00A93A60"/>
    <w:rsid w:val="00A93E1C"/>
    <w:rsid w:val="00A946E1"/>
    <w:rsid w:val="00AA0257"/>
    <w:rsid w:val="00AA046C"/>
    <w:rsid w:val="00AA212B"/>
    <w:rsid w:val="00AA2572"/>
    <w:rsid w:val="00AA258D"/>
    <w:rsid w:val="00AA25B1"/>
    <w:rsid w:val="00AA32D5"/>
    <w:rsid w:val="00AA391C"/>
    <w:rsid w:val="00AA489F"/>
    <w:rsid w:val="00AA4B86"/>
    <w:rsid w:val="00AA5C9D"/>
    <w:rsid w:val="00AA64B1"/>
    <w:rsid w:val="00AB0466"/>
    <w:rsid w:val="00AB0945"/>
    <w:rsid w:val="00AB328D"/>
    <w:rsid w:val="00AB40B7"/>
    <w:rsid w:val="00AB40E1"/>
    <w:rsid w:val="00AB41BA"/>
    <w:rsid w:val="00AB44A3"/>
    <w:rsid w:val="00AB5BAE"/>
    <w:rsid w:val="00AB5ECD"/>
    <w:rsid w:val="00AB685D"/>
    <w:rsid w:val="00AB7777"/>
    <w:rsid w:val="00AC0C95"/>
    <w:rsid w:val="00AC11C1"/>
    <w:rsid w:val="00AC21BF"/>
    <w:rsid w:val="00AC3A04"/>
    <w:rsid w:val="00AC3CC5"/>
    <w:rsid w:val="00AC6D5D"/>
    <w:rsid w:val="00AC7638"/>
    <w:rsid w:val="00AC7D43"/>
    <w:rsid w:val="00AD001F"/>
    <w:rsid w:val="00AD1456"/>
    <w:rsid w:val="00AD3A92"/>
    <w:rsid w:val="00AD3E2C"/>
    <w:rsid w:val="00AD5C5F"/>
    <w:rsid w:val="00AD697E"/>
    <w:rsid w:val="00AD70D7"/>
    <w:rsid w:val="00AE1D36"/>
    <w:rsid w:val="00AE2102"/>
    <w:rsid w:val="00AE2300"/>
    <w:rsid w:val="00AE46B3"/>
    <w:rsid w:val="00AF078A"/>
    <w:rsid w:val="00AF14BB"/>
    <w:rsid w:val="00AF1832"/>
    <w:rsid w:val="00AF1D44"/>
    <w:rsid w:val="00AF216B"/>
    <w:rsid w:val="00AF326D"/>
    <w:rsid w:val="00AF37A9"/>
    <w:rsid w:val="00AF6215"/>
    <w:rsid w:val="00AF649A"/>
    <w:rsid w:val="00AF739E"/>
    <w:rsid w:val="00AF78F1"/>
    <w:rsid w:val="00B00CE9"/>
    <w:rsid w:val="00B016A5"/>
    <w:rsid w:val="00B04381"/>
    <w:rsid w:val="00B0765E"/>
    <w:rsid w:val="00B101CD"/>
    <w:rsid w:val="00B117A5"/>
    <w:rsid w:val="00B20158"/>
    <w:rsid w:val="00B21745"/>
    <w:rsid w:val="00B22B91"/>
    <w:rsid w:val="00B23B24"/>
    <w:rsid w:val="00B24214"/>
    <w:rsid w:val="00B24229"/>
    <w:rsid w:val="00B26543"/>
    <w:rsid w:val="00B26C8C"/>
    <w:rsid w:val="00B326A1"/>
    <w:rsid w:val="00B33157"/>
    <w:rsid w:val="00B33226"/>
    <w:rsid w:val="00B3574C"/>
    <w:rsid w:val="00B35E4C"/>
    <w:rsid w:val="00B42DFF"/>
    <w:rsid w:val="00B43C54"/>
    <w:rsid w:val="00B45C02"/>
    <w:rsid w:val="00B46B85"/>
    <w:rsid w:val="00B46D91"/>
    <w:rsid w:val="00B46DB0"/>
    <w:rsid w:val="00B47F4B"/>
    <w:rsid w:val="00B5446C"/>
    <w:rsid w:val="00B54C88"/>
    <w:rsid w:val="00B579E5"/>
    <w:rsid w:val="00B627B4"/>
    <w:rsid w:val="00B66DF7"/>
    <w:rsid w:val="00B679E0"/>
    <w:rsid w:val="00B67EF8"/>
    <w:rsid w:val="00B7007B"/>
    <w:rsid w:val="00B70447"/>
    <w:rsid w:val="00B70E80"/>
    <w:rsid w:val="00B71893"/>
    <w:rsid w:val="00B71F81"/>
    <w:rsid w:val="00B7204C"/>
    <w:rsid w:val="00B7213C"/>
    <w:rsid w:val="00B72FD9"/>
    <w:rsid w:val="00B744A0"/>
    <w:rsid w:val="00B7459D"/>
    <w:rsid w:val="00B74FD1"/>
    <w:rsid w:val="00B75912"/>
    <w:rsid w:val="00B76F6A"/>
    <w:rsid w:val="00B774F1"/>
    <w:rsid w:val="00B77915"/>
    <w:rsid w:val="00B7794A"/>
    <w:rsid w:val="00B822B4"/>
    <w:rsid w:val="00B824EA"/>
    <w:rsid w:val="00B868C1"/>
    <w:rsid w:val="00B912B0"/>
    <w:rsid w:val="00B91F9A"/>
    <w:rsid w:val="00B92254"/>
    <w:rsid w:val="00B93167"/>
    <w:rsid w:val="00B93F7C"/>
    <w:rsid w:val="00B9516F"/>
    <w:rsid w:val="00B977F6"/>
    <w:rsid w:val="00B979F9"/>
    <w:rsid w:val="00BA0AD5"/>
    <w:rsid w:val="00BA2925"/>
    <w:rsid w:val="00BA46CB"/>
    <w:rsid w:val="00BA47CC"/>
    <w:rsid w:val="00BB0091"/>
    <w:rsid w:val="00BB077E"/>
    <w:rsid w:val="00BB18D1"/>
    <w:rsid w:val="00BB25B9"/>
    <w:rsid w:val="00BB4BC2"/>
    <w:rsid w:val="00BB6660"/>
    <w:rsid w:val="00BB7251"/>
    <w:rsid w:val="00BC1945"/>
    <w:rsid w:val="00BC2E83"/>
    <w:rsid w:val="00BC3776"/>
    <w:rsid w:val="00BC5B26"/>
    <w:rsid w:val="00BC5E8F"/>
    <w:rsid w:val="00BD1A5B"/>
    <w:rsid w:val="00BD1AD0"/>
    <w:rsid w:val="00BD3805"/>
    <w:rsid w:val="00BD3E44"/>
    <w:rsid w:val="00BD4014"/>
    <w:rsid w:val="00BD7147"/>
    <w:rsid w:val="00BD740B"/>
    <w:rsid w:val="00BD7AEE"/>
    <w:rsid w:val="00BE13C1"/>
    <w:rsid w:val="00BE1772"/>
    <w:rsid w:val="00BE2682"/>
    <w:rsid w:val="00BE3248"/>
    <w:rsid w:val="00BE3DAD"/>
    <w:rsid w:val="00BE5B62"/>
    <w:rsid w:val="00BE6AA7"/>
    <w:rsid w:val="00BF0B98"/>
    <w:rsid w:val="00BF1209"/>
    <w:rsid w:val="00BF1781"/>
    <w:rsid w:val="00BF1990"/>
    <w:rsid w:val="00BF297A"/>
    <w:rsid w:val="00BF4C87"/>
    <w:rsid w:val="00BF56E5"/>
    <w:rsid w:val="00BF6FDD"/>
    <w:rsid w:val="00C006B8"/>
    <w:rsid w:val="00C01837"/>
    <w:rsid w:val="00C01C30"/>
    <w:rsid w:val="00C05483"/>
    <w:rsid w:val="00C05FC1"/>
    <w:rsid w:val="00C10277"/>
    <w:rsid w:val="00C10375"/>
    <w:rsid w:val="00C112D2"/>
    <w:rsid w:val="00C1391F"/>
    <w:rsid w:val="00C13B2E"/>
    <w:rsid w:val="00C17427"/>
    <w:rsid w:val="00C17C1A"/>
    <w:rsid w:val="00C21041"/>
    <w:rsid w:val="00C229FD"/>
    <w:rsid w:val="00C23802"/>
    <w:rsid w:val="00C24D29"/>
    <w:rsid w:val="00C26055"/>
    <w:rsid w:val="00C26709"/>
    <w:rsid w:val="00C30A19"/>
    <w:rsid w:val="00C30D7E"/>
    <w:rsid w:val="00C31F98"/>
    <w:rsid w:val="00C334D5"/>
    <w:rsid w:val="00C35A95"/>
    <w:rsid w:val="00C36BEC"/>
    <w:rsid w:val="00C40373"/>
    <w:rsid w:val="00C40875"/>
    <w:rsid w:val="00C41F4D"/>
    <w:rsid w:val="00C43D4C"/>
    <w:rsid w:val="00C440CD"/>
    <w:rsid w:val="00C457AA"/>
    <w:rsid w:val="00C46670"/>
    <w:rsid w:val="00C478FD"/>
    <w:rsid w:val="00C47965"/>
    <w:rsid w:val="00C505DA"/>
    <w:rsid w:val="00C52520"/>
    <w:rsid w:val="00C55FD3"/>
    <w:rsid w:val="00C61357"/>
    <w:rsid w:val="00C6246E"/>
    <w:rsid w:val="00C62AF0"/>
    <w:rsid w:val="00C64E5A"/>
    <w:rsid w:val="00C64EE3"/>
    <w:rsid w:val="00C70607"/>
    <w:rsid w:val="00C71940"/>
    <w:rsid w:val="00C73015"/>
    <w:rsid w:val="00C73D1F"/>
    <w:rsid w:val="00C7409B"/>
    <w:rsid w:val="00C75562"/>
    <w:rsid w:val="00C767D8"/>
    <w:rsid w:val="00C76FC4"/>
    <w:rsid w:val="00C81175"/>
    <w:rsid w:val="00C8155F"/>
    <w:rsid w:val="00C8227A"/>
    <w:rsid w:val="00C82D21"/>
    <w:rsid w:val="00C83791"/>
    <w:rsid w:val="00C862D6"/>
    <w:rsid w:val="00C87653"/>
    <w:rsid w:val="00C93AE6"/>
    <w:rsid w:val="00C944DA"/>
    <w:rsid w:val="00C94D72"/>
    <w:rsid w:val="00C954F7"/>
    <w:rsid w:val="00C968F7"/>
    <w:rsid w:val="00CA1B55"/>
    <w:rsid w:val="00CA2EF4"/>
    <w:rsid w:val="00CA36EB"/>
    <w:rsid w:val="00CA409A"/>
    <w:rsid w:val="00CA4EBA"/>
    <w:rsid w:val="00CA6BA8"/>
    <w:rsid w:val="00CB0F7B"/>
    <w:rsid w:val="00CB2099"/>
    <w:rsid w:val="00CB2BBB"/>
    <w:rsid w:val="00CB3B4E"/>
    <w:rsid w:val="00CB41DE"/>
    <w:rsid w:val="00CB48BE"/>
    <w:rsid w:val="00CB56F2"/>
    <w:rsid w:val="00CB7BD5"/>
    <w:rsid w:val="00CC1648"/>
    <w:rsid w:val="00CC7CD0"/>
    <w:rsid w:val="00CD0340"/>
    <w:rsid w:val="00CD5561"/>
    <w:rsid w:val="00CD58A8"/>
    <w:rsid w:val="00CD668A"/>
    <w:rsid w:val="00CD75D2"/>
    <w:rsid w:val="00CE00EA"/>
    <w:rsid w:val="00CE1DB7"/>
    <w:rsid w:val="00CE31AE"/>
    <w:rsid w:val="00CE3720"/>
    <w:rsid w:val="00CE704D"/>
    <w:rsid w:val="00CF0B99"/>
    <w:rsid w:val="00CF2668"/>
    <w:rsid w:val="00CF36F1"/>
    <w:rsid w:val="00CF672B"/>
    <w:rsid w:val="00D00E54"/>
    <w:rsid w:val="00D023A7"/>
    <w:rsid w:val="00D033AD"/>
    <w:rsid w:val="00D10D39"/>
    <w:rsid w:val="00D11924"/>
    <w:rsid w:val="00D11EDE"/>
    <w:rsid w:val="00D13B0B"/>
    <w:rsid w:val="00D13E97"/>
    <w:rsid w:val="00D14F27"/>
    <w:rsid w:val="00D14FFA"/>
    <w:rsid w:val="00D1515F"/>
    <w:rsid w:val="00D2323B"/>
    <w:rsid w:val="00D27180"/>
    <w:rsid w:val="00D3026E"/>
    <w:rsid w:val="00D30274"/>
    <w:rsid w:val="00D30998"/>
    <w:rsid w:val="00D3299A"/>
    <w:rsid w:val="00D3386B"/>
    <w:rsid w:val="00D34813"/>
    <w:rsid w:val="00D350AD"/>
    <w:rsid w:val="00D361D0"/>
    <w:rsid w:val="00D42634"/>
    <w:rsid w:val="00D4418B"/>
    <w:rsid w:val="00D44C9D"/>
    <w:rsid w:val="00D450FC"/>
    <w:rsid w:val="00D46952"/>
    <w:rsid w:val="00D473AE"/>
    <w:rsid w:val="00D512F6"/>
    <w:rsid w:val="00D52442"/>
    <w:rsid w:val="00D53B0D"/>
    <w:rsid w:val="00D5454E"/>
    <w:rsid w:val="00D55EA0"/>
    <w:rsid w:val="00D5705D"/>
    <w:rsid w:val="00D57567"/>
    <w:rsid w:val="00D60BE7"/>
    <w:rsid w:val="00D61FA8"/>
    <w:rsid w:val="00D629ED"/>
    <w:rsid w:val="00D62DBB"/>
    <w:rsid w:val="00D67A80"/>
    <w:rsid w:val="00D71DC5"/>
    <w:rsid w:val="00D73B3F"/>
    <w:rsid w:val="00D74CB0"/>
    <w:rsid w:val="00D75463"/>
    <w:rsid w:val="00D75830"/>
    <w:rsid w:val="00D7630E"/>
    <w:rsid w:val="00D81CF3"/>
    <w:rsid w:val="00D84683"/>
    <w:rsid w:val="00D86E88"/>
    <w:rsid w:val="00D91C49"/>
    <w:rsid w:val="00D934E8"/>
    <w:rsid w:val="00D94620"/>
    <w:rsid w:val="00D94823"/>
    <w:rsid w:val="00D968CC"/>
    <w:rsid w:val="00DA1199"/>
    <w:rsid w:val="00DA1E04"/>
    <w:rsid w:val="00DA2DEE"/>
    <w:rsid w:val="00DA3403"/>
    <w:rsid w:val="00DA5C20"/>
    <w:rsid w:val="00DA6EF7"/>
    <w:rsid w:val="00DA6F3C"/>
    <w:rsid w:val="00DB35C2"/>
    <w:rsid w:val="00DB3BE1"/>
    <w:rsid w:val="00DB6A65"/>
    <w:rsid w:val="00DB7AFF"/>
    <w:rsid w:val="00DC2074"/>
    <w:rsid w:val="00DC2A53"/>
    <w:rsid w:val="00DC2D6C"/>
    <w:rsid w:val="00DD1196"/>
    <w:rsid w:val="00DD36B4"/>
    <w:rsid w:val="00DD4E5B"/>
    <w:rsid w:val="00DD5852"/>
    <w:rsid w:val="00DD5E0B"/>
    <w:rsid w:val="00DD6446"/>
    <w:rsid w:val="00DD65AF"/>
    <w:rsid w:val="00DD66A5"/>
    <w:rsid w:val="00DE0CDC"/>
    <w:rsid w:val="00DE22DB"/>
    <w:rsid w:val="00DE272C"/>
    <w:rsid w:val="00DE2992"/>
    <w:rsid w:val="00DE2CF0"/>
    <w:rsid w:val="00DE5D56"/>
    <w:rsid w:val="00DE6452"/>
    <w:rsid w:val="00DE7248"/>
    <w:rsid w:val="00DF194C"/>
    <w:rsid w:val="00DF1CDE"/>
    <w:rsid w:val="00DF31BD"/>
    <w:rsid w:val="00DF40FB"/>
    <w:rsid w:val="00DF509A"/>
    <w:rsid w:val="00DF643C"/>
    <w:rsid w:val="00DF6F76"/>
    <w:rsid w:val="00DF7E4D"/>
    <w:rsid w:val="00E00B5A"/>
    <w:rsid w:val="00E0144E"/>
    <w:rsid w:val="00E034D2"/>
    <w:rsid w:val="00E04EC9"/>
    <w:rsid w:val="00E05A87"/>
    <w:rsid w:val="00E078ED"/>
    <w:rsid w:val="00E11E5F"/>
    <w:rsid w:val="00E13D5C"/>
    <w:rsid w:val="00E142BE"/>
    <w:rsid w:val="00E142EB"/>
    <w:rsid w:val="00E15477"/>
    <w:rsid w:val="00E169A7"/>
    <w:rsid w:val="00E16B26"/>
    <w:rsid w:val="00E2074B"/>
    <w:rsid w:val="00E21B5A"/>
    <w:rsid w:val="00E221F2"/>
    <w:rsid w:val="00E223B1"/>
    <w:rsid w:val="00E23310"/>
    <w:rsid w:val="00E24B97"/>
    <w:rsid w:val="00E2500B"/>
    <w:rsid w:val="00E31AD9"/>
    <w:rsid w:val="00E328BA"/>
    <w:rsid w:val="00E33C49"/>
    <w:rsid w:val="00E36485"/>
    <w:rsid w:val="00E40220"/>
    <w:rsid w:val="00E40F1A"/>
    <w:rsid w:val="00E42CD7"/>
    <w:rsid w:val="00E43D24"/>
    <w:rsid w:val="00E45ED5"/>
    <w:rsid w:val="00E461A2"/>
    <w:rsid w:val="00E46E31"/>
    <w:rsid w:val="00E47BCC"/>
    <w:rsid w:val="00E50395"/>
    <w:rsid w:val="00E50F23"/>
    <w:rsid w:val="00E53921"/>
    <w:rsid w:val="00E548D1"/>
    <w:rsid w:val="00E55527"/>
    <w:rsid w:val="00E55FAB"/>
    <w:rsid w:val="00E57615"/>
    <w:rsid w:val="00E60D66"/>
    <w:rsid w:val="00E650DA"/>
    <w:rsid w:val="00E66811"/>
    <w:rsid w:val="00E7136D"/>
    <w:rsid w:val="00E76219"/>
    <w:rsid w:val="00E76DD3"/>
    <w:rsid w:val="00E77259"/>
    <w:rsid w:val="00E80953"/>
    <w:rsid w:val="00E81D54"/>
    <w:rsid w:val="00E81F0E"/>
    <w:rsid w:val="00E82910"/>
    <w:rsid w:val="00E83492"/>
    <w:rsid w:val="00E834ED"/>
    <w:rsid w:val="00E83A9B"/>
    <w:rsid w:val="00E84AAD"/>
    <w:rsid w:val="00E850D6"/>
    <w:rsid w:val="00E85B86"/>
    <w:rsid w:val="00E86348"/>
    <w:rsid w:val="00E90CBE"/>
    <w:rsid w:val="00E922DE"/>
    <w:rsid w:val="00E92BBE"/>
    <w:rsid w:val="00E93BB6"/>
    <w:rsid w:val="00E9501C"/>
    <w:rsid w:val="00E953C8"/>
    <w:rsid w:val="00E95CEA"/>
    <w:rsid w:val="00E963F2"/>
    <w:rsid w:val="00E965EA"/>
    <w:rsid w:val="00E966A3"/>
    <w:rsid w:val="00EA0B0A"/>
    <w:rsid w:val="00EA2E8C"/>
    <w:rsid w:val="00EA33DC"/>
    <w:rsid w:val="00EA3EA9"/>
    <w:rsid w:val="00EA5BB4"/>
    <w:rsid w:val="00EA76D1"/>
    <w:rsid w:val="00EA772E"/>
    <w:rsid w:val="00EB064E"/>
    <w:rsid w:val="00EB0849"/>
    <w:rsid w:val="00EB0BBA"/>
    <w:rsid w:val="00EB141D"/>
    <w:rsid w:val="00EB3407"/>
    <w:rsid w:val="00EB4C5B"/>
    <w:rsid w:val="00EB66B6"/>
    <w:rsid w:val="00EB69D2"/>
    <w:rsid w:val="00EC0730"/>
    <w:rsid w:val="00EC2D6E"/>
    <w:rsid w:val="00EC3786"/>
    <w:rsid w:val="00EC4509"/>
    <w:rsid w:val="00EC46F4"/>
    <w:rsid w:val="00EC4B7A"/>
    <w:rsid w:val="00EC558E"/>
    <w:rsid w:val="00EC6E31"/>
    <w:rsid w:val="00EC75C5"/>
    <w:rsid w:val="00EC7BD3"/>
    <w:rsid w:val="00ED5BDA"/>
    <w:rsid w:val="00ED5D91"/>
    <w:rsid w:val="00ED64D1"/>
    <w:rsid w:val="00ED68B7"/>
    <w:rsid w:val="00ED7E93"/>
    <w:rsid w:val="00EE1026"/>
    <w:rsid w:val="00EE21CE"/>
    <w:rsid w:val="00EE3A8C"/>
    <w:rsid w:val="00EE501D"/>
    <w:rsid w:val="00EE63A8"/>
    <w:rsid w:val="00EE65AE"/>
    <w:rsid w:val="00EE7CE4"/>
    <w:rsid w:val="00EF00D1"/>
    <w:rsid w:val="00EF1389"/>
    <w:rsid w:val="00EF1C07"/>
    <w:rsid w:val="00EF2400"/>
    <w:rsid w:val="00EF24A7"/>
    <w:rsid w:val="00EF2A1D"/>
    <w:rsid w:val="00EF3382"/>
    <w:rsid w:val="00EF5BCE"/>
    <w:rsid w:val="00EF77AA"/>
    <w:rsid w:val="00F002C9"/>
    <w:rsid w:val="00F00368"/>
    <w:rsid w:val="00F00E31"/>
    <w:rsid w:val="00F01A3B"/>
    <w:rsid w:val="00F03BC8"/>
    <w:rsid w:val="00F06694"/>
    <w:rsid w:val="00F066B1"/>
    <w:rsid w:val="00F06FA6"/>
    <w:rsid w:val="00F103CA"/>
    <w:rsid w:val="00F10E13"/>
    <w:rsid w:val="00F12AA7"/>
    <w:rsid w:val="00F14761"/>
    <w:rsid w:val="00F14E8C"/>
    <w:rsid w:val="00F17541"/>
    <w:rsid w:val="00F17A5B"/>
    <w:rsid w:val="00F204EC"/>
    <w:rsid w:val="00F2055D"/>
    <w:rsid w:val="00F21258"/>
    <w:rsid w:val="00F215A5"/>
    <w:rsid w:val="00F22C63"/>
    <w:rsid w:val="00F24776"/>
    <w:rsid w:val="00F24A7E"/>
    <w:rsid w:val="00F25935"/>
    <w:rsid w:val="00F268A2"/>
    <w:rsid w:val="00F26E5E"/>
    <w:rsid w:val="00F27126"/>
    <w:rsid w:val="00F27BE2"/>
    <w:rsid w:val="00F302A6"/>
    <w:rsid w:val="00F30452"/>
    <w:rsid w:val="00F30CCC"/>
    <w:rsid w:val="00F312A2"/>
    <w:rsid w:val="00F32423"/>
    <w:rsid w:val="00F32D7E"/>
    <w:rsid w:val="00F33672"/>
    <w:rsid w:val="00F3423E"/>
    <w:rsid w:val="00F37AE2"/>
    <w:rsid w:val="00F37AFE"/>
    <w:rsid w:val="00F37CCD"/>
    <w:rsid w:val="00F40E36"/>
    <w:rsid w:val="00F430CE"/>
    <w:rsid w:val="00F43647"/>
    <w:rsid w:val="00F44113"/>
    <w:rsid w:val="00F45E5C"/>
    <w:rsid w:val="00F47128"/>
    <w:rsid w:val="00F47654"/>
    <w:rsid w:val="00F51F7D"/>
    <w:rsid w:val="00F53862"/>
    <w:rsid w:val="00F5509F"/>
    <w:rsid w:val="00F6037D"/>
    <w:rsid w:val="00F6073D"/>
    <w:rsid w:val="00F61034"/>
    <w:rsid w:val="00F612EF"/>
    <w:rsid w:val="00F617BA"/>
    <w:rsid w:val="00F643A7"/>
    <w:rsid w:val="00F652AE"/>
    <w:rsid w:val="00F65823"/>
    <w:rsid w:val="00F7381F"/>
    <w:rsid w:val="00F73CF7"/>
    <w:rsid w:val="00F73FC2"/>
    <w:rsid w:val="00F744EA"/>
    <w:rsid w:val="00F7508D"/>
    <w:rsid w:val="00F757E1"/>
    <w:rsid w:val="00F75EEE"/>
    <w:rsid w:val="00F7610D"/>
    <w:rsid w:val="00F8032D"/>
    <w:rsid w:val="00F80CC0"/>
    <w:rsid w:val="00F81DAC"/>
    <w:rsid w:val="00F8274C"/>
    <w:rsid w:val="00F82856"/>
    <w:rsid w:val="00F8466D"/>
    <w:rsid w:val="00F84F9C"/>
    <w:rsid w:val="00F86BB3"/>
    <w:rsid w:val="00F8791C"/>
    <w:rsid w:val="00F937CE"/>
    <w:rsid w:val="00F93CF2"/>
    <w:rsid w:val="00F93DFB"/>
    <w:rsid w:val="00F94AD2"/>
    <w:rsid w:val="00F956A2"/>
    <w:rsid w:val="00F958D2"/>
    <w:rsid w:val="00F97BC9"/>
    <w:rsid w:val="00FA0E1D"/>
    <w:rsid w:val="00FA1E63"/>
    <w:rsid w:val="00FA1FC8"/>
    <w:rsid w:val="00FA399E"/>
    <w:rsid w:val="00FA3D32"/>
    <w:rsid w:val="00FA449A"/>
    <w:rsid w:val="00FA4EDC"/>
    <w:rsid w:val="00FA539F"/>
    <w:rsid w:val="00FA5A18"/>
    <w:rsid w:val="00FA7973"/>
    <w:rsid w:val="00FB117D"/>
    <w:rsid w:val="00FB1C1B"/>
    <w:rsid w:val="00FB53CD"/>
    <w:rsid w:val="00FC0906"/>
    <w:rsid w:val="00FC0D16"/>
    <w:rsid w:val="00FC0D63"/>
    <w:rsid w:val="00FC1C2F"/>
    <w:rsid w:val="00FC2385"/>
    <w:rsid w:val="00FC3A5D"/>
    <w:rsid w:val="00FC4C1C"/>
    <w:rsid w:val="00FC5126"/>
    <w:rsid w:val="00FC528C"/>
    <w:rsid w:val="00FC5944"/>
    <w:rsid w:val="00FC5D73"/>
    <w:rsid w:val="00FC621A"/>
    <w:rsid w:val="00FD02D8"/>
    <w:rsid w:val="00FD20B8"/>
    <w:rsid w:val="00FD21D4"/>
    <w:rsid w:val="00FD2EA5"/>
    <w:rsid w:val="00FD4285"/>
    <w:rsid w:val="00FD4D36"/>
    <w:rsid w:val="00FD4F1C"/>
    <w:rsid w:val="00FD5EBB"/>
    <w:rsid w:val="00FD6412"/>
    <w:rsid w:val="00FD667B"/>
    <w:rsid w:val="00FE2BA7"/>
    <w:rsid w:val="00FE2CE1"/>
    <w:rsid w:val="00FE3B53"/>
    <w:rsid w:val="00FE4ECF"/>
    <w:rsid w:val="00FE5BF7"/>
    <w:rsid w:val="00FE5FBC"/>
    <w:rsid w:val="00FE7CA2"/>
    <w:rsid w:val="00FF01F3"/>
    <w:rsid w:val="00FF0F49"/>
    <w:rsid w:val="00FF1BEF"/>
    <w:rsid w:val="00FF2456"/>
    <w:rsid w:val="00FF5330"/>
    <w:rsid w:val="00FF6A33"/>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90113"/>
    <o:shapelayout v:ext="edit">
      <o:idmap v:ext="edit" data="1"/>
    </o:shapelayout>
  </w:shapeDefaults>
  <w:decimalSymbol w:val="."/>
  <w:listSeparator w:val=","/>
  <w14:docId w14:val="025C4E4A"/>
  <w15:docId w15:val="{CCABA02B-8C17-478F-B0C3-C6AD011C5E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 w:unhideWhenUsed="1"/>
    <w:lsdException w:name="List Bullet 3" w:semiHidden="1" w:uiPriority="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5351F7"/>
    <w:pPr>
      <w:tabs>
        <w:tab w:val="left" w:pos="284"/>
      </w:tabs>
      <w:spacing w:after="140" w:line="260" w:lineRule="atLeast"/>
    </w:pPr>
    <w:rPr>
      <w:rFonts w:asciiTheme="minorHAnsi" w:hAnsiTheme="minorHAnsi"/>
      <w:lang w:eastAsia="en-US"/>
    </w:rPr>
  </w:style>
  <w:style w:type="paragraph" w:styleId="Heading1">
    <w:name w:val="heading 1"/>
    <w:basedOn w:val="Normal"/>
    <w:next w:val="Normal"/>
    <w:link w:val="Heading1Char"/>
    <w:qFormat/>
    <w:rsid w:val="00A81B64"/>
    <w:pPr>
      <w:keepNext/>
      <w:numPr>
        <w:numId w:val="1"/>
      </w:numPr>
      <w:tabs>
        <w:tab w:val="clear" w:pos="284"/>
      </w:tabs>
      <w:overflowPunct w:val="0"/>
      <w:autoSpaceDE w:val="0"/>
      <w:autoSpaceDN w:val="0"/>
      <w:adjustRightInd w:val="0"/>
      <w:spacing w:before="140"/>
      <w:textAlignment w:val="baseline"/>
      <w:outlineLvl w:val="0"/>
    </w:pPr>
    <w:rPr>
      <w:b/>
      <w:kern w:val="28"/>
    </w:rPr>
  </w:style>
  <w:style w:type="paragraph" w:styleId="Heading2">
    <w:name w:val="heading 2"/>
    <w:basedOn w:val="Normal"/>
    <w:next w:val="Normal"/>
    <w:link w:val="Heading2Char"/>
    <w:qFormat/>
    <w:rsid w:val="00A81B64"/>
    <w:pPr>
      <w:keepNext/>
      <w:numPr>
        <w:ilvl w:val="1"/>
        <w:numId w:val="1"/>
      </w:numPr>
      <w:tabs>
        <w:tab w:val="clear" w:pos="284"/>
        <w:tab w:val="clear" w:pos="9356"/>
        <w:tab w:val="num" w:pos="851"/>
      </w:tabs>
      <w:overflowPunct w:val="0"/>
      <w:autoSpaceDE w:val="0"/>
      <w:autoSpaceDN w:val="0"/>
      <w:adjustRightInd w:val="0"/>
      <w:spacing w:before="140"/>
      <w:ind w:left="851"/>
      <w:textAlignment w:val="baseline"/>
      <w:outlineLvl w:val="1"/>
    </w:pPr>
    <w:rPr>
      <w:b/>
      <w:kern w:val="28"/>
    </w:rPr>
  </w:style>
  <w:style w:type="paragraph" w:styleId="Heading3">
    <w:name w:val="heading 3"/>
    <w:basedOn w:val="Normal"/>
    <w:next w:val="Normal"/>
    <w:link w:val="Heading3Char"/>
    <w:qFormat/>
    <w:rsid w:val="00A81B64"/>
    <w:pPr>
      <w:keepNext/>
      <w:numPr>
        <w:ilvl w:val="2"/>
        <w:numId w:val="1"/>
      </w:numPr>
      <w:tabs>
        <w:tab w:val="clear" w:pos="284"/>
      </w:tabs>
      <w:overflowPunct w:val="0"/>
      <w:autoSpaceDE w:val="0"/>
      <w:autoSpaceDN w:val="0"/>
      <w:adjustRightInd w:val="0"/>
      <w:spacing w:before="140"/>
      <w:textAlignment w:val="baseline"/>
      <w:outlineLvl w:val="2"/>
    </w:pPr>
    <w:rPr>
      <w:bCs/>
      <w:i/>
      <w:iCs/>
      <w:kern w:val="28"/>
    </w:rPr>
  </w:style>
  <w:style w:type="paragraph" w:styleId="Heading4">
    <w:name w:val="heading 4"/>
    <w:basedOn w:val="Normal"/>
    <w:next w:val="Normal"/>
    <w:link w:val="Heading4Char"/>
    <w:qFormat/>
    <w:rsid w:val="000732C6"/>
    <w:pPr>
      <w:keepNext/>
      <w:tabs>
        <w:tab w:val="clear" w:pos="284"/>
      </w:tabs>
      <w:overflowPunct w:val="0"/>
      <w:autoSpaceDE w:val="0"/>
      <w:autoSpaceDN w:val="0"/>
      <w:adjustRightInd w:val="0"/>
      <w:spacing w:before="140"/>
      <w:textAlignment w:val="baseline"/>
      <w:outlineLvl w:val="3"/>
    </w:pPr>
    <w:rPr>
      <w:b/>
      <w:kern w:val="28"/>
    </w:rPr>
  </w:style>
  <w:style w:type="paragraph" w:styleId="Heading5">
    <w:name w:val="heading 5"/>
    <w:basedOn w:val="Normal"/>
    <w:next w:val="Normal"/>
    <w:qFormat/>
    <w:rsid w:val="00DF7E4D"/>
    <w:pPr>
      <w:keepNext/>
      <w:tabs>
        <w:tab w:val="clear" w:pos="284"/>
      </w:tabs>
      <w:overflowPunct w:val="0"/>
      <w:autoSpaceDE w:val="0"/>
      <w:autoSpaceDN w:val="0"/>
      <w:adjustRightInd w:val="0"/>
      <w:spacing w:before="140"/>
      <w:textAlignment w:val="baseline"/>
      <w:outlineLvl w:val="4"/>
    </w:pPr>
    <w:rPr>
      <w:bCs/>
      <w:i/>
      <w:kern w:val="28"/>
      <w:szCs w:val="18"/>
    </w:rPr>
  </w:style>
  <w:style w:type="paragraph" w:styleId="Heading6">
    <w:name w:val="heading 6"/>
    <w:basedOn w:val="Normal"/>
    <w:next w:val="Normal"/>
    <w:qFormat/>
    <w:rsid w:val="007E5293"/>
    <w:pPr>
      <w:keepNext/>
      <w:overflowPunct w:val="0"/>
      <w:autoSpaceDE w:val="0"/>
      <w:autoSpaceDN w:val="0"/>
      <w:adjustRightInd w:val="0"/>
      <w:spacing w:after="280"/>
      <w:textAlignment w:val="baseline"/>
      <w:outlineLvl w:val="5"/>
    </w:pPr>
    <w:rPr>
      <w:bCs/>
      <w:i/>
      <w:iCs/>
      <w:kern w:val="28"/>
    </w:rPr>
  </w:style>
  <w:style w:type="paragraph" w:styleId="Heading7">
    <w:name w:val="heading 7"/>
    <w:basedOn w:val="Normal"/>
    <w:next w:val="Normal"/>
    <w:qFormat/>
    <w:rsid w:val="007E5293"/>
    <w:pPr>
      <w:tabs>
        <w:tab w:val="left" w:pos="1134"/>
      </w:tabs>
      <w:overflowPunct w:val="0"/>
      <w:autoSpaceDE w:val="0"/>
      <w:autoSpaceDN w:val="0"/>
      <w:adjustRightInd w:val="0"/>
      <w:spacing w:after="240"/>
      <w:textAlignment w:val="baseline"/>
      <w:outlineLvl w:val="6"/>
    </w:pPr>
    <w:rPr>
      <w:bCs/>
      <w:kern w:val="28"/>
    </w:rPr>
  </w:style>
  <w:style w:type="paragraph" w:styleId="Heading8">
    <w:name w:val="heading 8"/>
    <w:basedOn w:val="Normal"/>
    <w:next w:val="Normal"/>
    <w:qFormat/>
    <w:rsid w:val="007E5293"/>
    <w:pPr>
      <w:tabs>
        <w:tab w:val="clear" w:pos="284"/>
      </w:tabs>
      <w:spacing w:after="240" w:line="260" w:lineRule="exact"/>
      <w:outlineLvl w:val="7"/>
    </w:pPr>
    <w:rPr>
      <w:iCs/>
      <w:lang w:val="en-GB"/>
    </w:rPr>
  </w:style>
  <w:style w:type="paragraph" w:styleId="Heading9">
    <w:name w:val="heading 9"/>
    <w:basedOn w:val="Normal"/>
    <w:next w:val="Normal"/>
    <w:qFormat/>
    <w:rsid w:val="007E5293"/>
    <w:pPr>
      <w:tabs>
        <w:tab w:val="left" w:pos="1134"/>
      </w:tabs>
      <w:overflowPunct w:val="0"/>
      <w:autoSpaceDE w:val="0"/>
      <w:autoSpaceDN w:val="0"/>
      <w:adjustRightInd w:val="0"/>
      <w:spacing w:after="240"/>
      <w:textAlignment w:val="baseline"/>
      <w:outlineLvl w:val="8"/>
    </w:pPr>
    <w:rPr>
      <w:iCs/>
      <w:kern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AE2102"/>
    <w:rPr>
      <w:rFonts w:asciiTheme="minorHAnsi" w:hAnsiTheme="minorHAnsi"/>
      <w:b/>
      <w:kern w:val="28"/>
      <w:lang w:eastAsia="en-US"/>
    </w:rPr>
  </w:style>
  <w:style w:type="character" w:customStyle="1" w:styleId="Heading2Char">
    <w:name w:val="Heading 2 Char"/>
    <w:basedOn w:val="DefaultParagraphFont"/>
    <w:link w:val="Heading2"/>
    <w:rsid w:val="00AE2102"/>
    <w:rPr>
      <w:rFonts w:asciiTheme="minorHAnsi" w:hAnsiTheme="minorHAnsi"/>
      <w:b/>
      <w:kern w:val="28"/>
      <w:lang w:eastAsia="en-US"/>
    </w:rPr>
  </w:style>
  <w:style w:type="character" w:customStyle="1" w:styleId="Heading3Char">
    <w:name w:val="Heading 3 Char"/>
    <w:basedOn w:val="DefaultParagraphFont"/>
    <w:link w:val="Heading3"/>
    <w:rsid w:val="00AE2102"/>
    <w:rPr>
      <w:rFonts w:asciiTheme="minorHAnsi" w:hAnsiTheme="minorHAnsi"/>
      <w:bCs/>
      <w:i/>
      <w:iCs/>
      <w:kern w:val="28"/>
      <w:lang w:eastAsia="en-US"/>
    </w:rPr>
  </w:style>
  <w:style w:type="character" w:customStyle="1" w:styleId="Heading4Char">
    <w:name w:val="Heading 4 Char"/>
    <w:basedOn w:val="DefaultParagraphFont"/>
    <w:link w:val="Heading4"/>
    <w:rsid w:val="00D00E54"/>
    <w:rPr>
      <w:rFonts w:ascii="Verdana" w:hAnsi="Verdana"/>
      <w:b/>
      <w:kern w:val="28"/>
      <w:sz w:val="18"/>
      <w:lang w:val="en-AU" w:eastAsia="en-US" w:bidi="ar-SA"/>
    </w:rPr>
  </w:style>
  <w:style w:type="paragraph" w:styleId="Header">
    <w:name w:val="header"/>
    <w:basedOn w:val="Normal"/>
    <w:rsid w:val="004E4BD9"/>
    <w:pPr>
      <w:overflowPunct w:val="0"/>
      <w:autoSpaceDE w:val="0"/>
      <w:autoSpaceDN w:val="0"/>
      <w:adjustRightInd w:val="0"/>
      <w:spacing w:line="240" w:lineRule="auto"/>
      <w:textAlignment w:val="baseline"/>
    </w:pPr>
    <w:rPr>
      <w:smallCaps/>
      <w:spacing w:val="20"/>
      <w:kern w:val="28"/>
      <w:szCs w:val="18"/>
      <w:lang w:val="en-US"/>
    </w:rPr>
  </w:style>
  <w:style w:type="paragraph" w:styleId="Footer">
    <w:name w:val="footer"/>
    <w:basedOn w:val="Normal"/>
    <w:link w:val="FooterChar"/>
    <w:uiPriority w:val="99"/>
    <w:rsid w:val="009E7933"/>
    <w:pPr>
      <w:pBdr>
        <w:top w:val="single" w:sz="2" w:space="4" w:color="auto"/>
      </w:pBdr>
      <w:tabs>
        <w:tab w:val="right" w:pos="8505"/>
      </w:tabs>
      <w:overflowPunct w:val="0"/>
      <w:autoSpaceDE w:val="0"/>
      <w:autoSpaceDN w:val="0"/>
      <w:adjustRightInd w:val="0"/>
      <w:spacing w:before="420" w:after="0"/>
      <w:textAlignment w:val="baseline"/>
    </w:pPr>
    <w:rPr>
      <w:smallCaps/>
      <w:noProof/>
      <w:spacing w:val="20"/>
      <w:kern w:val="28"/>
      <w:sz w:val="16"/>
      <w:szCs w:val="16"/>
    </w:rPr>
  </w:style>
  <w:style w:type="character" w:customStyle="1" w:styleId="FooterChar">
    <w:name w:val="Footer Char"/>
    <w:basedOn w:val="DefaultParagraphFont"/>
    <w:link w:val="Footer"/>
    <w:uiPriority w:val="99"/>
    <w:rsid w:val="00133300"/>
    <w:rPr>
      <w:rFonts w:asciiTheme="minorHAnsi" w:hAnsiTheme="minorHAnsi"/>
      <w:smallCaps/>
      <w:noProof/>
      <w:spacing w:val="20"/>
      <w:kern w:val="28"/>
      <w:sz w:val="16"/>
      <w:szCs w:val="16"/>
      <w:lang w:eastAsia="en-US"/>
    </w:rPr>
  </w:style>
  <w:style w:type="paragraph" w:styleId="TOC1">
    <w:name w:val="toc 1"/>
    <w:basedOn w:val="Normal"/>
    <w:next w:val="Normal"/>
    <w:autoRedefine/>
    <w:uiPriority w:val="39"/>
    <w:rsid w:val="001A2261"/>
    <w:pPr>
      <w:keepNext/>
      <w:tabs>
        <w:tab w:val="clear" w:pos="284"/>
        <w:tab w:val="right" w:pos="8505"/>
      </w:tabs>
      <w:overflowPunct w:val="0"/>
      <w:autoSpaceDE w:val="0"/>
      <w:autoSpaceDN w:val="0"/>
      <w:adjustRightInd w:val="0"/>
      <w:spacing w:before="140"/>
      <w:ind w:left="851" w:hanging="851"/>
      <w:textAlignment w:val="baseline"/>
    </w:pPr>
    <w:rPr>
      <w:b/>
      <w:noProof/>
      <w:kern w:val="28"/>
      <w:szCs w:val="18"/>
    </w:rPr>
  </w:style>
  <w:style w:type="paragraph" w:styleId="TOC2">
    <w:name w:val="toc 2"/>
    <w:basedOn w:val="Normal"/>
    <w:next w:val="Normal"/>
    <w:autoRedefine/>
    <w:uiPriority w:val="39"/>
    <w:rsid w:val="001A2261"/>
    <w:pPr>
      <w:tabs>
        <w:tab w:val="clear" w:pos="284"/>
        <w:tab w:val="right" w:pos="8505"/>
      </w:tabs>
      <w:overflowPunct w:val="0"/>
      <w:autoSpaceDE w:val="0"/>
      <w:autoSpaceDN w:val="0"/>
      <w:adjustRightInd w:val="0"/>
      <w:spacing w:after="0"/>
      <w:ind w:left="851" w:hanging="851"/>
      <w:textAlignment w:val="baseline"/>
    </w:pPr>
    <w:rPr>
      <w:noProof/>
      <w:szCs w:val="18"/>
      <w:lang w:val="en-US"/>
    </w:rPr>
  </w:style>
  <w:style w:type="paragraph" w:styleId="TOC3">
    <w:name w:val="toc 3"/>
    <w:basedOn w:val="Normal"/>
    <w:next w:val="Normal"/>
    <w:autoRedefine/>
    <w:uiPriority w:val="39"/>
    <w:rsid w:val="001A2261"/>
    <w:pPr>
      <w:tabs>
        <w:tab w:val="clear" w:pos="284"/>
        <w:tab w:val="right" w:pos="8505"/>
      </w:tabs>
      <w:overflowPunct w:val="0"/>
      <w:autoSpaceDE w:val="0"/>
      <w:autoSpaceDN w:val="0"/>
      <w:adjustRightInd w:val="0"/>
      <w:ind w:left="1702" w:hanging="851"/>
      <w:textAlignment w:val="baseline"/>
    </w:pPr>
    <w:rPr>
      <w:noProof/>
      <w:kern w:val="28"/>
    </w:rPr>
  </w:style>
  <w:style w:type="paragraph" w:styleId="TOC4">
    <w:name w:val="toc 4"/>
    <w:basedOn w:val="Normal"/>
    <w:next w:val="Normal"/>
    <w:autoRedefine/>
    <w:semiHidden/>
    <w:rsid w:val="001A2261"/>
    <w:pPr>
      <w:tabs>
        <w:tab w:val="clear" w:pos="284"/>
        <w:tab w:val="right" w:pos="8505"/>
      </w:tabs>
      <w:overflowPunct w:val="0"/>
      <w:autoSpaceDE w:val="0"/>
      <w:autoSpaceDN w:val="0"/>
      <w:adjustRightInd w:val="0"/>
      <w:ind w:left="658"/>
      <w:textAlignment w:val="baseline"/>
    </w:pPr>
    <w:rPr>
      <w:kern w:val="28"/>
    </w:rPr>
  </w:style>
  <w:style w:type="paragraph" w:styleId="TOC5">
    <w:name w:val="toc 5"/>
    <w:basedOn w:val="Normal"/>
    <w:next w:val="Normal"/>
    <w:autoRedefine/>
    <w:semiHidden/>
    <w:rsid w:val="007E5293"/>
    <w:pPr>
      <w:tabs>
        <w:tab w:val="left" w:pos="1134"/>
        <w:tab w:val="right" w:leader="dot" w:pos="9072"/>
      </w:tabs>
      <w:overflowPunct w:val="0"/>
      <w:autoSpaceDE w:val="0"/>
      <w:autoSpaceDN w:val="0"/>
      <w:adjustRightInd w:val="0"/>
      <w:ind w:left="880"/>
      <w:textAlignment w:val="baseline"/>
    </w:pPr>
    <w:rPr>
      <w:kern w:val="28"/>
    </w:rPr>
  </w:style>
  <w:style w:type="paragraph" w:styleId="TOC6">
    <w:name w:val="toc 6"/>
    <w:basedOn w:val="Normal"/>
    <w:next w:val="Normal"/>
    <w:autoRedefine/>
    <w:semiHidden/>
    <w:rsid w:val="007E5293"/>
    <w:pPr>
      <w:tabs>
        <w:tab w:val="left" w:pos="1134"/>
        <w:tab w:val="right" w:leader="dot" w:pos="9072"/>
      </w:tabs>
      <w:overflowPunct w:val="0"/>
      <w:autoSpaceDE w:val="0"/>
      <w:autoSpaceDN w:val="0"/>
      <w:adjustRightInd w:val="0"/>
      <w:ind w:left="1100"/>
      <w:textAlignment w:val="baseline"/>
    </w:pPr>
    <w:rPr>
      <w:kern w:val="28"/>
    </w:rPr>
  </w:style>
  <w:style w:type="paragraph" w:styleId="TOC7">
    <w:name w:val="toc 7"/>
    <w:basedOn w:val="Normal"/>
    <w:next w:val="Normal"/>
    <w:autoRedefine/>
    <w:semiHidden/>
    <w:rsid w:val="007E5293"/>
    <w:pPr>
      <w:tabs>
        <w:tab w:val="left" w:pos="1134"/>
        <w:tab w:val="right" w:leader="dot" w:pos="9072"/>
      </w:tabs>
      <w:overflowPunct w:val="0"/>
      <w:autoSpaceDE w:val="0"/>
      <w:autoSpaceDN w:val="0"/>
      <w:adjustRightInd w:val="0"/>
      <w:ind w:left="1320"/>
      <w:textAlignment w:val="baseline"/>
    </w:pPr>
    <w:rPr>
      <w:kern w:val="28"/>
    </w:rPr>
  </w:style>
  <w:style w:type="paragraph" w:styleId="TOC8">
    <w:name w:val="toc 8"/>
    <w:basedOn w:val="Normal"/>
    <w:next w:val="Normal"/>
    <w:autoRedefine/>
    <w:semiHidden/>
    <w:rsid w:val="007E5293"/>
    <w:pPr>
      <w:tabs>
        <w:tab w:val="left" w:pos="1134"/>
        <w:tab w:val="right" w:leader="dot" w:pos="9072"/>
      </w:tabs>
      <w:overflowPunct w:val="0"/>
      <w:autoSpaceDE w:val="0"/>
      <w:autoSpaceDN w:val="0"/>
      <w:adjustRightInd w:val="0"/>
      <w:ind w:left="1540"/>
      <w:textAlignment w:val="baseline"/>
    </w:pPr>
    <w:rPr>
      <w:kern w:val="28"/>
    </w:rPr>
  </w:style>
  <w:style w:type="paragraph" w:styleId="TOC9">
    <w:name w:val="toc 9"/>
    <w:basedOn w:val="Normal"/>
    <w:next w:val="Normal"/>
    <w:autoRedefine/>
    <w:semiHidden/>
    <w:rsid w:val="007E5293"/>
    <w:pPr>
      <w:tabs>
        <w:tab w:val="left" w:pos="1134"/>
        <w:tab w:val="right" w:leader="dot" w:pos="9072"/>
      </w:tabs>
      <w:overflowPunct w:val="0"/>
      <w:autoSpaceDE w:val="0"/>
      <w:autoSpaceDN w:val="0"/>
      <w:adjustRightInd w:val="0"/>
      <w:ind w:left="1760"/>
      <w:textAlignment w:val="baseline"/>
    </w:pPr>
    <w:rPr>
      <w:kern w:val="28"/>
    </w:rPr>
  </w:style>
  <w:style w:type="paragraph" w:customStyle="1" w:styleId="Table">
    <w:name w:val="Table"/>
    <w:basedOn w:val="Normal"/>
    <w:rsid w:val="005A6F60"/>
    <w:pPr>
      <w:keepNext/>
      <w:tabs>
        <w:tab w:val="left" w:pos="1134"/>
      </w:tabs>
      <w:overflowPunct w:val="0"/>
      <w:autoSpaceDE w:val="0"/>
      <w:autoSpaceDN w:val="0"/>
      <w:adjustRightInd w:val="0"/>
      <w:spacing w:before="60" w:after="60"/>
      <w:textAlignment w:val="baseline"/>
    </w:pPr>
    <w:rPr>
      <w:color w:val="000000"/>
      <w:kern w:val="28"/>
    </w:rPr>
  </w:style>
  <w:style w:type="paragraph" w:styleId="TableofFigures">
    <w:name w:val="table of figures"/>
    <w:basedOn w:val="Normal"/>
    <w:next w:val="Normal"/>
    <w:semiHidden/>
    <w:rsid w:val="007E5293"/>
    <w:pPr>
      <w:tabs>
        <w:tab w:val="clear" w:pos="284"/>
        <w:tab w:val="left" w:pos="1134"/>
        <w:tab w:val="left" w:pos="1320"/>
        <w:tab w:val="right" w:pos="7995"/>
      </w:tabs>
      <w:overflowPunct w:val="0"/>
      <w:autoSpaceDE w:val="0"/>
      <w:autoSpaceDN w:val="0"/>
      <w:adjustRightInd w:val="0"/>
      <w:ind w:left="1134" w:right="624" w:hanging="1134"/>
      <w:textAlignment w:val="baseline"/>
    </w:pPr>
    <w:rPr>
      <w:noProof/>
      <w:szCs w:val="24"/>
      <w:lang w:val="en-US"/>
    </w:rPr>
  </w:style>
  <w:style w:type="paragraph" w:styleId="Caption">
    <w:name w:val="caption"/>
    <w:basedOn w:val="Normal"/>
    <w:next w:val="Figuresource"/>
    <w:link w:val="CaptionChar"/>
    <w:qFormat/>
    <w:rsid w:val="004E4BD9"/>
    <w:pPr>
      <w:keepNext/>
      <w:tabs>
        <w:tab w:val="clear" w:pos="284"/>
        <w:tab w:val="left" w:pos="1134"/>
      </w:tabs>
      <w:overflowPunct w:val="0"/>
      <w:autoSpaceDE w:val="0"/>
      <w:autoSpaceDN w:val="0"/>
      <w:adjustRightInd w:val="0"/>
      <w:spacing w:after="0"/>
      <w:ind w:left="1134" w:hanging="1134"/>
      <w:textAlignment w:val="baseline"/>
    </w:pPr>
    <w:rPr>
      <w:iCs/>
      <w:kern w:val="28"/>
    </w:rPr>
  </w:style>
  <w:style w:type="paragraph" w:customStyle="1" w:styleId="Figuresource">
    <w:name w:val="Figure source"/>
    <w:basedOn w:val="Caption"/>
    <w:next w:val="Normal"/>
    <w:rsid w:val="004E4BD9"/>
    <w:pPr>
      <w:keepNext w:val="0"/>
      <w:ind w:firstLine="0"/>
    </w:pPr>
  </w:style>
  <w:style w:type="character" w:customStyle="1" w:styleId="CaptionChar">
    <w:name w:val="Caption Char"/>
    <w:basedOn w:val="DefaultParagraphFont"/>
    <w:link w:val="Caption"/>
    <w:rsid w:val="00B7794A"/>
    <w:rPr>
      <w:rFonts w:asciiTheme="minorHAnsi" w:hAnsiTheme="minorHAnsi"/>
      <w:iCs/>
      <w:kern w:val="28"/>
      <w:lang w:eastAsia="en-US"/>
    </w:rPr>
  </w:style>
  <w:style w:type="character" w:styleId="Hyperlink">
    <w:name w:val="Hyperlink"/>
    <w:basedOn w:val="DefaultParagraphFont"/>
    <w:uiPriority w:val="99"/>
    <w:rsid w:val="004B3DFF"/>
    <w:rPr>
      <w:rFonts w:asciiTheme="minorHAnsi" w:hAnsiTheme="minorHAnsi"/>
      <w:color w:val="0000FF"/>
      <w:sz w:val="16"/>
      <w:u w:val="single"/>
    </w:rPr>
  </w:style>
  <w:style w:type="paragraph" w:styleId="Title">
    <w:name w:val="Title"/>
    <w:basedOn w:val="Normal"/>
    <w:link w:val="TitleChar"/>
    <w:uiPriority w:val="10"/>
    <w:qFormat/>
    <w:rsid w:val="00D00E54"/>
    <w:pPr>
      <w:tabs>
        <w:tab w:val="left" w:pos="1134"/>
      </w:tabs>
      <w:overflowPunct w:val="0"/>
      <w:autoSpaceDE w:val="0"/>
      <w:autoSpaceDN w:val="0"/>
      <w:adjustRightInd w:val="0"/>
      <w:jc w:val="center"/>
      <w:textAlignment w:val="baseline"/>
      <w:outlineLvl w:val="0"/>
    </w:pPr>
    <w:rPr>
      <w:spacing w:val="20"/>
      <w:kern w:val="28"/>
      <w:sz w:val="28"/>
    </w:rPr>
  </w:style>
  <w:style w:type="character" w:styleId="PageNumber">
    <w:name w:val="page number"/>
    <w:basedOn w:val="DefaultParagraphFont"/>
    <w:rsid w:val="004B3DFF"/>
    <w:rPr>
      <w:rFonts w:asciiTheme="minorHAnsi" w:hAnsiTheme="minorHAnsi"/>
      <w:sz w:val="16"/>
    </w:rPr>
  </w:style>
  <w:style w:type="paragraph" w:customStyle="1" w:styleId="Figure">
    <w:name w:val="Figure"/>
    <w:basedOn w:val="Normal"/>
    <w:next w:val="Caption"/>
    <w:rsid w:val="007E5293"/>
    <w:pPr>
      <w:keepNext/>
      <w:tabs>
        <w:tab w:val="clear" w:pos="284"/>
      </w:tabs>
      <w:spacing w:before="280"/>
    </w:pPr>
    <w:rPr>
      <w:iCs/>
    </w:rPr>
  </w:style>
  <w:style w:type="paragraph" w:customStyle="1" w:styleId="List21">
    <w:name w:val="List 21"/>
    <w:basedOn w:val="Normal"/>
    <w:next w:val="Normal"/>
    <w:rsid w:val="00CE31AE"/>
    <w:pPr>
      <w:tabs>
        <w:tab w:val="clear" w:pos="284"/>
        <w:tab w:val="left" w:pos="567"/>
      </w:tabs>
      <w:ind w:left="567" w:hanging="283"/>
    </w:pPr>
  </w:style>
  <w:style w:type="paragraph" w:customStyle="1" w:styleId="Quotation">
    <w:name w:val="Quotation"/>
    <w:basedOn w:val="Normal"/>
    <w:next w:val="Normal"/>
    <w:rsid w:val="00654F95"/>
    <w:pPr>
      <w:tabs>
        <w:tab w:val="clear" w:pos="284"/>
      </w:tabs>
      <w:spacing w:before="140" w:line="260" w:lineRule="exact"/>
      <w:ind w:left="851" w:right="851"/>
    </w:pPr>
  </w:style>
  <w:style w:type="character" w:styleId="EndnoteReference">
    <w:name w:val="endnote reference"/>
    <w:basedOn w:val="DefaultParagraphFont"/>
    <w:semiHidden/>
    <w:rsid w:val="00D11EDE"/>
    <w:rPr>
      <w:rFonts w:asciiTheme="minorHAnsi" w:hAnsiTheme="minorHAnsi"/>
      <w:position w:val="6"/>
      <w:sz w:val="16"/>
    </w:rPr>
  </w:style>
  <w:style w:type="paragraph" w:styleId="EndnoteText">
    <w:name w:val="endnote text"/>
    <w:basedOn w:val="Normal"/>
    <w:semiHidden/>
    <w:rsid w:val="00392AD7"/>
    <w:pPr>
      <w:tabs>
        <w:tab w:val="clear" w:pos="284"/>
      </w:tabs>
      <w:spacing w:line="260" w:lineRule="exact"/>
      <w:ind w:left="567" w:hanging="567"/>
    </w:pPr>
    <w:rPr>
      <w:sz w:val="16"/>
    </w:rPr>
  </w:style>
  <w:style w:type="character" w:styleId="FootnoteReference">
    <w:name w:val="footnote reference"/>
    <w:basedOn w:val="DefaultParagraphFont"/>
    <w:uiPriority w:val="99"/>
    <w:rsid w:val="002C5232"/>
    <w:rPr>
      <w:rFonts w:asciiTheme="minorHAnsi" w:hAnsiTheme="minorHAnsi"/>
      <w:position w:val="6"/>
      <w:sz w:val="16"/>
    </w:rPr>
  </w:style>
  <w:style w:type="paragraph" w:styleId="FootnoteText">
    <w:name w:val="footnote text"/>
    <w:basedOn w:val="Normal"/>
    <w:link w:val="FootnoteTextChar"/>
    <w:uiPriority w:val="99"/>
    <w:qFormat/>
    <w:rsid w:val="00446B05"/>
    <w:pPr>
      <w:tabs>
        <w:tab w:val="clear" w:pos="284"/>
      </w:tabs>
      <w:spacing w:line="260" w:lineRule="exact"/>
      <w:ind w:left="567" w:hanging="567"/>
    </w:pPr>
    <w:rPr>
      <w:sz w:val="16"/>
    </w:rPr>
  </w:style>
  <w:style w:type="character" w:customStyle="1" w:styleId="FootnoteTextChar">
    <w:name w:val="Footnote Text Char"/>
    <w:basedOn w:val="DefaultParagraphFont"/>
    <w:link w:val="FootnoteText"/>
    <w:uiPriority w:val="99"/>
    <w:rsid w:val="00B7794A"/>
    <w:rPr>
      <w:rFonts w:asciiTheme="minorHAnsi" w:hAnsiTheme="minorHAnsi"/>
      <w:sz w:val="16"/>
      <w:lang w:eastAsia="en-US"/>
    </w:rPr>
  </w:style>
  <w:style w:type="paragraph" w:customStyle="1" w:styleId="list1">
    <w:name w:val="list 1"/>
    <w:basedOn w:val="Normal"/>
    <w:rsid w:val="00AC3CC5"/>
    <w:pPr>
      <w:numPr>
        <w:numId w:val="2"/>
      </w:numPr>
      <w:tabs>
        <w:tab w:val="clear" w:pos="284"/>
      </w:tabs>
    </w:pPr>
    <w:rPr>
      <w:lang w:val="en-GB"/>
    </w:rPr>
  </w:style>
  <w:style w:type="paragraph" w:styleId="Bibliography">
    <w:name w:val="Bibliography"/>
    <w:basedOn w:val="Normal"/>
    <w:rsid w:val="007E5293"/>
    <w:pPr>
      <w:tabs>
        <w:tab w:val="clear" w:pos="284"/>
      </w:tabs>
      <w:spacing w:line="280" w:lineRule="exact"/>
      <w:ind w:left="284" w:hanging="283"/>
    </w:pPr>
    <w:rPr>
      <w:lang w:val="en-GB"/>
    </w:rPr>
  </w:style>
  <w:style w:type="paragraph" w:customStyle="1" w:styleId="Heading">
    <w:name w:val="Heading"/>
    <w:basedOn w:val="Heading1"/>
    <w:next w:val="Normal"/>
    <w:rsid w:val="00144218"/>
    <w:pPr>
      <w:pageBreakBefore/>
      <w:numPr>
        <w:numId w:val="0"/>
      </w:numPr>
      <w:tabs>
        <w:tab w:val="left" w:pos="1985"/>
      </w:tabs>
    </w:pPr>
  </w:style>
  <w:style w:type="paragraph" w:styleId="DocumentMap">
    <w:name w:val="Document Map"/>
    <w:basedOn w:val="Normal"/>
    <w:semiHidden/>
    <w:rsid w:val="007E5293"/>
    <w:pPr>
      <w:shd w:val="clear" w:color="auto" w:fill="000080"/>
    </w:pPr>
    <w:rPr>
      <w:rFonts w:ascii="Tahoma" w:hAnsi="Tahoma" w:cs="Tahoma"/>
    </w:rPr>
  </w:style>
  <w:style w:type="character" w:customStyle="1" w:styleId="StyleEndnoteReference">
    <w:name w:val="Style Endnote Reference"/>
    <w:basedOn w:val="EndnoteReference"/>
    <w:rsid w:val="004B3DFF"/>
    <w:rPr>
      <w:rFonts w:asciiTheme="minorHAnsi" w:hAnsiTheme="minorHAnsi"/>
      <w:dstrike w:val="0"/>
      <w:spacing w:val="0"/>
      <w:position w:val="6"/>
      <w:sz w:val="16"/>
      <w:szCs w:val="16"/>
      <w:vertAlign w:val="baseline"/>
    </w:rPr>
  </w:style>
  <w:style w:type="paragraph" w:customStyle="1" w:styleId="Title1">
    <w:name w:val="Title 1"/>
    <w:basedOn w:val="Normal"/>
    <w:rsid w:val="0020176C"/>
    <w:pPr>
      <w:tabs>
        <w:tab w:val="clear" w:pos="284"/>
      </w:tabs>
      <w:jc w:val="right"/>
    </w:pPr>
    <w:rPr>
      <w:sz w:val="32"/>
    </w:rPr>
  </w:style>
  <w:style w:type="paragraph" w:customStyle="1" w:styleId="Title2">
    <w:name w:val="Title 2"/>
    <w:basedOn w:val="Normal"/>
    <w:rsid w:val="007B2E82"/>
    <w:pPr>
      <w:tabs>
        <w:tab w:val="clear" w:pos="284"/>
      </w:tabs>
      <w:spacing w:after="60"/>
      <w:jc w:val="right"/>
    </w:pPr>
    <w:rPr>
      <w:sz w:val="22"/>
    </w:rPr>
  </w:style>
  <w:style w:type="paragraph" w:styleId="BalloonText">
    <w:name w:val="Balloon Text"/>
    <w:basedOn w:val="Normal"/>
    <w:link w:val="BalloonTextChar"/>
    <w:rsid w:val="004B3DFF"/>
    <w:pPr>
      <w:spacing w:after="0" w:line="240" w:lineRule="auto"/>
    </w:pPr>
    <w:rPr>
      <w:rFonts w:cs="Tahoma"/>
      <w:sz w:val="16"/>
      <w:szCs w:val="16"/>
    </w:rPr>
  </w:style>
  <w:style w:type="character" w:customStyle="1" w:styleId="BalloonTextChar">
    <w:name w:val="Balloon Text Char"/>
    <w:basedOn w:val="DefaultParagraphFont"/>
    <w:link w:val="BalloonText"/>
    <w:rsid w:val="004B3DFF"/>
    <w:rPr>
      <w:rFonts w:asciiTheme="minorHAnsi" w:hAnsiTheme="minorHAnsi" w:cs="Tahoma"/>
      <w:sz w:val="16"/>
      <w:szCs w:val="16"/>
      <w:lang w:eastAsia="en-US"/>
    </w:rPr>
  </w:style>
  <w:style w:type="paragraph" w:styleId="ListParagraph">
    <w:name w:val="List Paragraph"/>
    <w:basedOn w:val="Normal"/>
    <w:uiPriority w:val="34"/>
    <w:qFormat/>
    <w:rsid w:val="00B71893"/>
    <w:pPr>
      <w:ind w:left="720"/>
      <w:contextualSpacing/>
    </w:pPr>
  </w:style>
  <w:style w:type="paragraph" w:customStyle="1" w:styleId="BulletList">
    <w:name w:val="Bullet List"/>
    <w:basedOn w:val="ListParagraph"/>
    <w:qFormat/>
    <w:rsid w:val="00B71893"/>
    <w:pPr>
      <w:numPr>
        <w:numId w:val="3"/>
      </w:numPr>
      <w:spacing w:line="240" w:lineRule="atLeast"/>
      <w:ind w:left="714" w:hanging="357"/>
      <w:contextualSpacing w:val="0"/>
    </w:pPr>
  </w:style>
  <w:style w:type="table" w:styleId="TableGrid">
    <w:name w:val="Table Grid"/>
    <w:basedOn w:val="TableNormal"/>
    <w:rsid w:val="00C755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
    <w:name w:val="Body"/>
    <w:basedOn w:val="Normal"/>
    <w:uiPriority w:val="99"/>
    <w:rsid w:val="00C75562"/>
    <w:pPr>
      <w:tabs>
        <w:tab w:val="clear" w:pos="284"/>
        <w:tab w:val="left" w:pos="850"/>
        <w:tab w:val="left" w:pos="1701"/>
        <w:tab w:val="left" w:pos="2551"/>
        <w:tab w:val="left" w:pos="3402"/>
      </w:tabs>
      <w:suppressAutoHyphens/>
      <w:autoSpaceDE w:val="0"/>
      <w:autoSpaceDN w:val="0"/>
      <w:adjustRightInd w:val="0"/>
      <w:spacing w:after="0" w:line="270" w:lineRule="atLeast"/>
      <w:textAlignment w:val="center"/>
    </w:pPr>
    <w:rPr>
      <w:rFonts w:ascii="TradeGothic Light" w:hAnsi="TradeGothic Light" w:cs="TradeGothic Light"/>
      <w:color w:val="000000"/>
      <w:szCs w:val="18"/>
      <w:lang w:val="en-US" w:eastAsia="en-AU"/>
    </w:rPr>
  </w:style>
  <w:style w:type="paragraph" w:customStyle="1" w:styleId="Coverpagetitle">
    <w:name w:val="Cover page title"/>
    <w:qFormat/>
    <w:rsid w:val="004B3DFF"/>
    <w:pPr>
      <w:framePr w:hSpace="181" w:wrap="around" w:hAnchor="margin" w:xAlign="right" w:y="1"/>
      <w:spacing w:after="80"/>
      <w:suppressOverlap/>
      <w:jc w:val="right"/>
    </w:pPr>
    <w:rPr>
      <w:rFonts w:asciiTheme="minorHAnsi" w:hAnsiTheme="minorHAnsi"/>
      <w:caps/>
      <w:sz w:val="32"/>
      <w:lang w:eastAsia="en-US"/>
    </w:rPr>
  </w:style>
  <w:style w:type="paragraph" w:customStyle="1" w:styleId="Coverpagebuilding">
    <w:name w:val="Cover page building"/>
    <w:qFormat/>
    <w:rsid w:val="004B3DFF"/>
    <w:pPr>
      <w:framePr w:hSpace="181" w:wrap="around" w:hAnchor="margin" w:xAlign="right" w:y="1"/>
      <w:spacing w:after="120"/>
      <w:suppressOverlap/>
      <w:jc w:val="right"/>
    </w:pPr>
    <w:rPr>
      <w:rFonts w:asciiTheme="minorHAnsi" w:hAnsiTheme="minorHAnsi"/>
      <w:caps/>
      <w:sz w:val="22"/>
      <w:lang w:eastAsia="en-US"/>
    </w:rPr>
  </w:style>
  <w:style w:type="paragraph" w:customStyle="1" w:styleId="Coverpageaddress">
    <w:name w:val="Cover page address"/>
    <w:qFormat/>
    <w:rsid w:val="004B3DFF"/>
    <w:pPr>
      <w:framePr w:hSpace="181" w:wrap="around" w:hAnchor="margin" w:xAlign="right" w:y="1"/>
      <w:spacing w:before="120" w:after="120" w:line="240" w:lineRule="exact"/>
      <w:suppressOverlap/>
      <w:jc w:val="right"/>
    </w:pPr>
    <w:rPr>
      <w:rFonts w:asciiTheme="minorHAnsi" w:hAnsiTheme="minorHAnsi"/>
      <w:sz w:val="22"/>
      <w:lang w:eastAsia="en-US"/>
    </w:rPr>
  </w:style>
  <w:style w:type="paragraph" w:customStyle="1" w:styleId="Cover-Projectname">
    <w:name w:val="Cover - Project name"/>
    <w:basedOn w:val="Normal"/>
    <w:qFormat/>
    <w:rsid w:val="009F42C6"/>
    <w:pPr>
      <w:spacing w:before="400" w:after="240" w:line="640" w:lineRule="exact"/>
      <w:ind w:left="3289"/>
    </w:pPr>
    <w:rPr>
      <w:b/>
      <w:color w:val="002E6E"/>
      <w:sz w:val="58"/>
    </w:rPr>
  </w:style>
  <w:style w:type="paragraph" w:customStyle="1" w:styleId="Cover-reporttype">
    <w:name w:val="Cover - report type"/>
    <w:basedOn w:val="Cover-Projectname"/>
    <w:qFormat/>
    <w:rsid w:val="00EB66B6"/>
    <w:pPr>
      <w:spacing w:before="360" w:after="40" w:line="300" w:lineRule="atLeast"/>
    </w:pPr>
    <w:rPr>
      <w:sz w:val="28"/>
    </w:rPr>
  </w:style>
  <w:style w:type="paragraph" w:customStyle="1" w:styleId="Cover-projectaddress">
    <w:name w:val="Cover - project address"/>
    <w:basedOn w:val="Cover-reporttype"/>
    <w:qFormat/>
    <w:rsid w:val="00E55FAB"/>
    <w:pPr>
      <w:spacing w:before="0" w:line="400" w:lineRule="atLeast"/>
    </w:pPr>
    <w:rPr>
      <w:b w:val="0"/>
    </w:rPr>
  </w:style>
  <w:style w:type="paragraph" w:customStyle="1" w:styleId="Cover-date">
    <w:name w:val="Cover - date"/>
    <w:basedOn w:val="Cover-projectaddress"/>
    <w:qFormat/>
    <w:rsid w:val="004D7E70"/>
    <w:pPr>
      <w:spacing w:before="120" w:after="0" w:line="240" w:lineRule="atLeast"/>
    </w:pPr>
    <w:rPr>
      <w:color w:val="auto"/>
      <w:sz w:val="26"/>
    </w:rPr>
  </w:style>
  <w:style w:type="paragraph" w:customStyle="1" w:styleId="Cover-preparedtext">
    <w:name w:val="Cover - prepared text"/>
    <w:basedOn w:val="Cover-date"/>
    <w:qFormat/>
    <w:rsid w:val="004D7E70"/>
    <w:rPr>
      <w:sz w:val="15"/>
    </w:rPr>
  </w:style>
  <w:style w:type="paragraph" w:customStyle="1" w:styleId="LClogo">
    <w:name w:val="LC logo"/>
    <w:qFormat/>
    <w:rsid w:val="00244ADA"/>
    <w:pPr>
      <w:ind w:left="3289"/>
    </w:pPr>
    <w:rPr>
      <w:rFonts w:asciiTheme="minorHAnsi" w:hAnsiTheme="minorHAnsi"/>
      <w:noProof/>
      <w:spacing w:val="20"/>
      <w:kern w:val="28"/>
    </w:rPr>
  </w:style>
  <w:style w:type="paragraph" w:customStyle="1" w:styleId="StyleCover-client">
    <w:name w:val="Style Cover - client"/>
    <w:basedOn w:val="Cover-preparedtext"/>
    <w:rsid w:val="009C0045"/>
    <w:pPr>
      <w:ind w:left="0"/>
    </w:pPr>
    <w:rPr>
      <w:sz w:val="20"/>
    </w:rPr>
  </w:style>
  <w:style w:type="paragraph" w:customStyle="1" w:styleId="spacing">
    <w:name w:val="spacing"/>
    <w:basedOn w:val="Normal"/>
    <w:qFormat/>
    <w:rsid w:val="00992237"/>
    <w:pPr>
      <w:spacing w:after="0" w:line="0" w:lineRule="atLeast"/>
    </w:pPr>
    <w:rPr>
      <w:sz w:val="12"/>
    </w:rPr>
  </w:style>
  <w:style w:type="paragraph" w:customStyle="1" w:styleId="Coverfigure">
    <w:name w:val="Cover figure"/>
    <w:basedOn w:val="Figure"/>
    <w:rsid w:val="00880175"/>
    <w:pPr>
      <w:jc w:val="right"/>
    </w:pPr>
    <w:rPr>
      <w:iCs w:val="0"/>
    </w:rPr>
  </w:style>
  <w:style w:type="paragraph" w:customStyle="1" w:styleId="Client">
    <w:name w:val="Client"/>
    <w:basedOn w:val="Footer"/>
    <w:qFormat/>
    <w:rsid w:val="005A4636"/>
    <w:pPr>
      <w:pBdr>
        <w:top w:val="none" w:sz="0" w:space="0" w:color="auto"/>
      </w:pBdr>
      <w:tabs>
        <w:tab w:val="clear" w:pos="284"/>
        <w:tab w:val="clear" w:pos="8505"/>
        <w:tab w:val="left" w:pos="6663"/>
      </w:tabs>
      <w:spacing w:before="0"/>
      <w:ind w:left="3261"/>
    </w:pPr>
    <w:rPr>
      <w:smallCaps w:val="0"/>
      <w:color w:val="FF0000"/>
      <w:sz w:val="20"/>
      <w:szCs w:val="20"/>
    </w:rPr>
  </w:style>
  <w:style w:type="character" w:styleId="PlaceholderText">
    <w:name w:val="Placeholder Text"/>
    <w:basedOn w:val="DefaultParagraphFont"/>
    <w:uiPriority w:val="99"/>
    <w:semiHidden/>
    <w:rsid w:val="00F2055D"/>
    <w:rPr>
      <w:color w:val="808080"/>
    </w:rPr>
  </w:style>
  <w:style w:type="character" w:styleId="Emphasis">
    <w:name w:val="Emphasis"/>
    <w:basedOn w:val="DefaultParagraphFont"/>
    <w:uiPriority w:val="20"/>
    <w:qFormat/>
    <w:rsid w:val="00B7794A"/>
    <w:rPr>
      <w:i/>
      <w:iCs/>
    </w:rPr>
  </w:style>
  <w:style w:type="character" w:styleId="Strong">
    <w:name w:val="Strong"/>
    <w:basedOn w:val="DefaultParagraphFont"/>
    <w:uiPriority w:val="22"/>
    <w:qFormat/>
    <w:rsid w:val="00B7794A"/>
    <w:rPr>
      <w:b/>
      <w:bCs/>
    </w:rPr>
  </w:style>
  <w:style w:type="character" w:customStyle="1" w:styleId="UnresolvedMention1">
    <w:name w:val="Unresolved Mention1"/>
    <w:basedOn w:val="DefaultParagraphFont"/>
    <w:rsid w:val="00B7794A"/>
    <w:rPr>
      <w:color w:val="808080"/>
      <w:shd w:val="clear" w:color="auto" w:fill="E6E6E6"/>
    </w:rPr>
  </w:style>
  <w:style w:type="paragraph" w:styleId="BodyText">
    <w:name w:val="Body Text"/>
    <w:basedOn w:val="Normal"/>
    <w:link w:val="BodyTextChar"/>
    <w:uiPriority w:val="1"/>
    <w:qFormat/>
    <w:rsid w:val="00B7794A"/>
    <w:pPr>
      <w:widowControl w:val="0"/>
      <w:tabs>
        <w:tab w:val="clear" w:pos="284"/>
      </w:tabs>
      <w:autoSpaceDE w:val="0"/>
      <w:autoSpaceDN w:val="0"/>
      <w:adjustRightInd w:val="0"/>
      <w:spacing w:after="0" w:line="240" w:lineRule="auto"/>
    </w:pPr>
    <w:rPr>
      <w:rFonts w:ascii="Calibri" w:eastAsiaTheme="minorEastAsia" w:hAnsi="Calibri" w:cs="Calibri"/>
      <w:sz w:val="19"/>
      <w:szCs w:val="19"/>
      <w:lang w:eastAsia="en-AU"/>
    </w:rPr>
  </w:style>
  <w:style w:type="character" w:customStyle="1" w:styleId="BodyTextChar">
    <w:name w:val="Body Text Char"/>
    <w:basedOn w:val="DefaultParagraphFont"/>
    <w:link w:val="BodyText"/>
    <w:uiPriority w:val="1"/>
    <w:rsid w:val="00B7794A"/>
    <w:rPr>
      <w:rFonts w:ascii="Calibri" w:eastAsiaTheme="minorEastAsia" w:hAnsi="Calibri" w:cs="Calibri"/>
      <w:sz w:val="19"/>
      <w:szCs w:val="19"/>
    </w:rPr>
  </w:style>
  <w:style w:type="character" w:customStyle="1" w:styleId="normaltextrun1">
    <w:name w:val="normaltextrun1"/>
    <w:basedOn w:val="DefaultParagraphFont"/>
    <w:rsid w:val="00B7794A"/>
  </w:style>
  <w:style w:type="character" w:customStyle="1" w:styleId="eop">
    <w:name w:val="eop"/>
    <w:basedOn w:val="DefaultParagraphFont"/>
    <w:rsid w:val="00B7794A"/>
  </w:style>
  <w:style w:type="character" w:customStyle="1" w:styleId="spellingerror">
    <w:name w:val="spellingerror"/>
    <w:basedOn w:val="DefaultParagraphFont"/>
    <w:rsid w:val="00B7794A"/>
  </w:style>
  <w:style w:type="paragraph" w:customStyle="1" w:styleId="paragraph1">
    <w:name w:val="paragraph1"/>
    <w:basedOn w:val="Normal"/>
    <w:rsid w:val="00B7794A"/>
    <w:pPr>
      <w:tabs>
        <w:tab w:val="clear" w:pos="284"/>
      </w:tabs>
      <w:spacing w:after="0" w:line="240" w:lineRule="auto"/>
    </w:pPr>
    <w:rPr>
      <w:rFonts w:ascii="Times New Roman" w:hAnsi="Times New Roman"/>
      <w:sz w:val="24"/>
      <w:szCs w:val="24"/>
      <w:lang w:eastAsia="en-AU"/>
    </w:rPr>
  </w:style>
  <w:style w:type="character" w:customStyle="1" w:styleId="oneclick-link">
    <w:name w:val="oneclick-link"/>
    <w:basedOn w:val="DefaultParagraphFont"/>
    <w:rsid w:val="00B7794A"/>
  </w:style>
  <w:style w:type="paragraph" w:styleId="CommentText">
    <w:name w:val="annotation text"/>
    <w:basedOn w:val="Normal"/>
    <w:link w:val="CommentTextChar"/>
    <w:uiPriority w:val="99"/>
    <w:unhideWhenUsed/>
    <w:rsid w:val="00B7794A"/>
    <w:pPr>
      <w:spacing w:line="240" w:lineRule="auto"/>
    </w:pPr>
  </w:style>
  <w:style w:type="character" w:customStyle="1" w:styleId="CommentTextChar">
    <w:name w:val="Comment Text Char"/>
    <w:basedOn w:val="DefaultParagraphFont"/>
    <w:link w:val="CommentText"/>
    <w:uiPriority w:val="99"/>
    <w:rsid w:val="00B7794A"/>
    <w:rPr>
      <w:rFonts w:asciiTheme="minorHAnsi" w:hAnsiTheme="minorHAnsi"/>
      <w:lang w:eastAsia="en-US"/>
    </w:rPr>
  </w:style>
  <w:style w:type="character" w:customStyle="1" w:styleId="CommentSubjectChar">
    <w:name w:val="Comment Subject Char"/>
    <w:basedOn w:val="CommentTextChar"/>
    <w:link w:val="CommentSubject"/>
    <w:semiHidden/>
    <w:rsid w:val="00B7794A"/>
    <w:rPr>
      <w:rFonts w:asciiTheme="minorHAnsi" w:hAnsiTheme="minorHAnsi"/>
      <w:b/>
      <w:bCs/>
      <w:lang w:eastAsia="en-US"/>
    </w:rPr>
  </w:style>
  <w:style w:type="paragraph" w:styleId="CommentSubject">
    <w:name w:val="annotation subject"/>
    <w:basedOn w:val="CommentText"/>
    <w:next w:val="CommentText"/>
    <w:link w:val="CommentSubjectChar"/>
    <w:semiHidden/>
    <w:unhideWhenUsed/>
    <w:rsid w:val="00B7794A"/>
    <w:rPr>
      <w:b/>
      <w:bCs/>
    </w:rPr>
  </w:style>
  <w:style w:type="character" w:customStyle="1" w:styleId="nlmarticle-title">
    <w:name w:val="nlm_article-title"/>
    <w:basedOn w:val="DefaultParagraphFont"/>
    <w:rsid w:val="00B7794A"/>
  </w:style>
  <w:style w:type="character" w:customStyle="1" w:styleId="specialtitle">
    <w:name w:val="specialtitle"/>
    <w:basedOn w:val="DefaultParagraphFont"/>
    <w:rsid w:val="00B7794A"/>
  </w:style>
  <w:style w:type="paragraph" w:customStyle="1" w:styleId="p1">
    <w:name w:val="p1"/>
    <w:basedOn w:val="Normal"/>
    <w:rsid w:val="00B7794A"/>
    <w:pPr>
      <w:tabs>
        <w:tab w:val="clear" w:pos="284"/>
      </w:tabs>
      <w:spacing w:after="0" w:line="240" w:lineRule="auto"/>
      <w:ind w:left="540" w:hanging="540"/>
    </w:pPr>
    <w:rPr>
      <w:rFonts w:ascii="Helvetica" w:eastAsiaTheme="minorHAnsi" w:hAnsi="Helvetica"/>
      <w:sz w:val="18"/>
      <w:szCs w:val="18"/>
      <w:lang w:eastAsia="en-AU"/>
    </w:rPr>
  </w:style>
  <w:style w:type="character" w:customStyle="1" w:styleId="s1">
    <w:name w:val="s1"/>
    <w:basedOn w:val="DefaultParagraphFont"/>
    <w:rsid w:val="00B7794A"/>
    <w:rPr>
      <w:shd w:val="clear" w:color="auto" w:fill="FFFB00"/>
    </w:rPr>
  </w:style>
  <w:style w:type="character" w:customStyle="1" w:styleId="UnresolvedMention2">
    <w:name w:val="Unresolved Mention2"/>
    <w:basedOn w:val="DefaultParagraphFont"/>
    <w:uiPriority w:val="99"/>
    <w:semiHidden/>
    <w:unhideWhenUsed/>
    <w:rsid w:val="00710E29"/>
    <w:rPr>
      <w:color w:val="808080"/>
      <w:shd w:val="clear" w:color="auto" w:fill="E6E6E6"/>
    </w:rPr>
  </w:style>
  <w:style w:type="paragraph" w:styleId="NormalIndent">
    <w:name w:val="Normal Indent"/>
    <w:basedOn w:val="Normal"/>
    <w:unhideWhenUsed/>
    <w:rsid w:val="00AD697E"/>
    <w:pPr>
      <w:ind w:left="720"/>
    </w:pPr>
  </w:style>
  <w:style w:type="character" w:styleId="FollowedHyperlink">
    <w:name w:val="FollowedHyperlink"/>
    <w:basedOn w:val="DefaultParagraphFont"/>
    <w:rsid w:val="00B977F6"/>
    <w:rPr>
      <w:color w:val="800080" w:themeColor="followedHyperlink"/>
      <w:u w:val="single"/>
    </w:rPr>
  </w:style>
  <w:style w:type="character" w:customStyle="1" w:styleId="TitleChar">
    <w:name w:val="Title Char"/>
    <w:basedOn w:val="DefaultParagraphFont"/>
    <w:link w:val="Title"/>
    <w:uiPriority w:val="10"/>
    <w:rsid w:val="006109D0"/>
    <w:rPr>
      <w:rFonts w:asciiTheme="minorHAnsi" w:hAnsiTheme="minorHAnsi"/>
      <w:spacing w:val="20"/>
      <w:kern w:val="28"/>
      <w:sz w:val="28"/>
      <w:lang w:eastAsia="en-US"/>
    </w:rPr>
  </w:style>
  <w:style w:type="paragraph" w:styleId="NormalWeb">
    <w:name w:val="Normal (Web)"/>
    <w:basedOn w:val="Normal"/>
    <w:uiPriority w:val="99"/>
    <w:unhideWhenUsed/>
    <w:rsid w:val="009C2677"/>
    <w:pPr>
      <w:tabs>
        <w:tab w:val="clear" w:pos="284"/>
      </w:tabs>
      <w:spacing w:before="100" w:beforeAutospacing="1" w:after="100" w:afterAutospacing="1" w:line="240" w:lineRule="auto"/>
    </w:pPr>
    <w:rPr>
      <w:rFonts w:ascii="Times New Roman" w:hAnsi="Times New Roman"/>
      <w:sz w:val="24"/>
      <w:szCs w:val="24"/>
      <w:lang w:eastAsia="en-AU"/>
    </w:rPr>
  </w:style>
  <w:style w:type="paragraph" w:styleId="ListBullet">
    <w:name w:val="List Bullet"/>
    <w:basedOn w:val="Normal"/>
    <w:uiPriority w:val="1"/>
    <w:unhideWhenUsed/>
    <w:qFormat/>
    <w:rsid w:val="00F26E5E"/>
    <w:pPr>
      <w:numPr>
        <w:numId w:val="7"/>
      </w:numPr>
      <w:tabs>
        <w:tab w:val="clear" w:pos="284"/>
      </w:tabs>
      <w:spacing w:after="120"/>
    </w:pPr>
    <w:rPr>
      <w:rFonts w:eastAsiaTheme="minorHAnsi" w:cstheme="minorBidi"/>
      <w:szCs w:val="22"/>
    </w:rPr>
  </w:style>
  <w:style w:type="paragraph" w:styleId="ListBullet2">
    <w:name w:val="List Bullet 2"/>
    <w:basedOn w:val="ListBullet"/>
    <w:uiPriority w:val="1"/>
    <w:semiHidden/>
    <w:unhideWhenUsed/>
    <w:rsid w:val="00F26E5E"/>
    <w:pPr>
      <w:numPr>
        <w:ilvl w:val="1"/>
      </w:numPr>
    </w:pPr>
  </w:style>
  <w:style w:type="paragraph" w:styleId="ListBullet3">
    <w:name w:val="List Bullet 3"/>
    <w:basedOn w:val="ListBullet2"/>
    <w:uiPriority w:val="1"/>
    <w:semiHidden/>
    <w:unhideWhenUsed/>
    <w:rsid w:val="00F26E5E"/>
    <w:pPr>
      <w:numPr>
        <w:ilvl w:val="2"/>
      </w:numPr>
    </w:pPr>
  </w:style>
  <w:style w:type="character" w:customStyle="1" w:styleId="Greentext">
    <w:name w:val="Green text"/>
    <w:basedOn w:val="DefaultParagraphFont"/>
    <w:uiPriority w:val="39"/>
    <w:qFormat/>
    <w:rsid w:val="004B3A98"/>
    <w:rPr>
      <w:color w:val="4F81BD" w:themeColor="accent1"/>
    </w:rPr>
  </w:style>
  <w:style w:type="paragraph" w:customStyle="1" w:styleId="TableText">
    <w:name w:val="Table Text"/>
    <w:basedOn w:val="Normal"/>
    <w:link w:val="TableTextChar"/>
    <w:uiPriority w:val="4"/>
    <w:qFormat/>
    <w:rsid w:val="002A5E2A"/>
    <w:pPr>
      <w:tabs>
        <w:tab w:val="clear" w:pos="284"/>
      </w:tabs>
      <w:spacing w:before="80" w:after="80" w:line="240" w:lineRule="auto"/>
    </w:pPr>
    <w:rPr>
      <w:rFonts w:eastAsiaTheme="minorHAnsi" w:cstheme="minorBidi"/>
      <w:szCs w:val="22"/>
    </w:rPr>
  </w:style>
  <w:style w:type="character" w:customStyle="1" w:styleId="TableTextChar">
    <w:name w:val="Table Text Char"/>
    <w:link w:val="TableText"/>
    <w:uiPriority w:val="4"/>
    <w:rsid w:val="002A5E2A"/>
    <w:rPr>
      <w:rFonts w:asciiTheme="minorHAnsi" w:eastAsiaTheme="minorHAnsi" w:hAnsiTheme="minorHAnsi" w:cstheme="minorBidi"/>
      <w:szCs w:val="22"/>
      <w:lang w:eastAsia="en-US"/>
    </w:rPr>
  </w:style>
  <w:style w:type="paragraph" w:customStyle="1" w:styleId="TableHeading">
    <w:name w:val="Table Heading"/>
    <w:basedOn w:val="Normal"/>
    <w:uiPriority w:val="4"/>
    <w:qFormat/>
    <w:rsid w:val="00D84683"/>
    <w:pPr>
      <w:tabs>
        <w:tab w:val="clear" w:pos="284"/>
      </w:tabs>
      <w:spacing w:before="80" w:after="80" w:line="240" w:lineRule="auto"/>
    </w:pPr>
    <w:rPr>
      <w:rFonts w:eastAsiaTheme="minorHAnsi" w:cstheme="minorBidi"/>
      <w:b/>
      <w:szCs w:val="22"/>
    </w:rPr>
  </w:style>
  <w:style w:type="table" w:customStyle="1" w:styleId="GreenTable1">
    <w:name w:val="Green Table 1"/>
    <w:basedOn w:val="TableNormal"/>
    <w:uiPriority w:val="99"/>
    <w:rsid w:val="00D84683"/>
    <w:rPr>
      <w:rFonts w:asciiTheme="minorHAnsi" w:eastAsiaTheme="minorHAnsi" w:hAnsiTheme="minorHAnsi" w:cstheme="minorBidi"/>
      <w:sz w:val="22"/>
      <w:szCs w:val="22"/>
      <w:lang w:eastAsia="en-US"/>
    </w:rPr>
    <w:tblPr>
      <w:tblInd w:w="108" w:type="dxa"/>
      <w:tbl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insideH w:val="single" w:sz="4" w:space="0" w:color="365F91" w:themeColor="accent1" w:themeShade="BF"/>
        <w:insideV w:val="single" w:sz="4" w:space="0" w:color="365F91" w:themeColor="accent1" w:themeShade="BF"/>
      </w:tblBorders>
    </w:tblPr>
    <w:tcPr>
      <w:shd w:val="clear" w:color="auto" w:fill="FFFFFF" w:themeFill="background1"/>
    </w:tcPr>
    <w:tblStylePr w:type="firstRow">
      <w:rPr>
        <w:color w:val="FFFFFF" w:themeColor="background1"/>
      </w:rPr>
      <w:tblPr/>
      <w:trPr>
        <w:tblHeader/>
      </w:trPr>
      <w:tcPr>
        <w:shd w:val="clear" w:color="auto" w:fill="4F81BD" w:themeFill="accent1"/>
      </w:tcPr>
    </w:tblStylePr>
    <w:tblStylePr w:type="lastRow">
      <w:rPr>
        <w:color w:val="FFFFFF" w:themeColor="background1"/>
      </w:rPr>
      <w:tblPr/>
      <w:tcPr>
        <w:shd w:val="clear" w:color="auto" w:fill="4F81BD" w:themeFill="accent1"/>
      </w:tcPr>
    </w:tblStylePr>
    <w:tblStylePr w:type="firstCol">
      <w:tblPr/>
      <w:tcPr>
        <w:shd w:val="clear" w:color="auto" w:fill="DBE5F1" w:themeFill="accent1" w:themeFillTint="33"/>
      </w:tcPr>
    </w:tblStylePr>
  </w:style>
  <w:style w:type="paragraph" w:customStyle="1" w:styleId="xxmsolistparagraph">
    <w:name w:val="x_xmsolistparagraph"/>
    <w:basedOn w:val="Normal"/>
    <w:rsid w:val="00224ECF"/>
    <w:pPr>
      <w:tabs>
        <w:tab w:val="clear" w:pos="284"/>
      </w:tabs>
      <w:spacing w:before="100" w:beforeAutospacing="1" w:after="100" w:afterAutospacing="1" w:line="240" w:lineRule="auto"/>
    </w:pPr>
    <w:rPr>
      <w:rFonts w:ascii="Times New Roman" w:hAnsi="Times New Roman"/>
      <w:sz w:val="24"/>
      <w:szCs w:val="24"/>
      <w:lang w:eastAsia="en-AU"/>
    </w:rPr>
  </w:style>
  <w:style w:type="character" w:customStyle="1" w:styleId="UnresolvedMention3">
    <w:name w:val="Unresolved Mention3"/>
    <w:basedOn w:val="DefaultParagraphFont"/>
    <w:uiPriority w:val="99"/>
    <w:semiHidden/>
    <w:unhideWhenUsed/>
    <w:rsid w:val="00A72CD4"/>
    <w:rPr>
      <w:color w:val="605E5C"/>
      <w:shd w:val="clear" w:color="auto" w:fill="E1DFDD"/>
    </w:rPr>
  </w:style>
  <w:style w:type="character" w:customStyle="1" w:styleId="inline-garnett-quote">
    <w:name w:val="inline-garnett-quote"/>
    <w:basedOn w:val="DefaultParagraphFont"/>
    <w:rsid w:val="00346EEB"/>
  </w:style>
  <w:style w:type="character" w:customStyle="1" w:styleId="UnresolvedMention4">
    <w:name w:val="Unresolved Mention4"/>
    <w:basedOn w:val="DefaultParagraphFont"/>
    <w:uiPriority w:val="99"/>
    <w:semiHidden/>
    <w:unhideWhenUsed/>
    <w:rsid w:val="00352C2D"/>
    <w:rPr>
      <w:color w:val="605E5C"/>
      <w:shd w:val="clear" w:color="auto" w:fill="E1DFDD"/>
    </w:rPr>
  </w:style>
  <w:style w:type="paragraph" w:customStyle="1" w:styleId="Captionnosource">
    <w:name w:val="Caption no source"/>
    <w:basedOn w:val="Normal"/>
    <w:qFormat/>
    <w:rsid w:val="00042CDE"/>
    <w:pPr>
      <w:tabs>
        <w:tab w:val="clear" w:pos="284"/>
        <w:tab w:val="left" w:pos="1134"/>
      </w:tabs>
      <w:overflowPunct w:val="0"/>
      <w:autoSpaceDE w:val="0"/>
      <w:autoSpaceDN w:val="0"/>
      <w:adjustRightInd w:val="0"/>
      <w:spacing w:after="280"/>
    </w:pPr>
    <w:rPr>
      <w:rFonts w:ascii="Calibri" w:hAnsi="Calibri"/>
      <w:iCs/>
      <w:kern w:val="28"/>
    </w:rPr>
  </w:style>
  <w:style w:type="character" w:customStyle="1" w:styleId="UnresolvedMention5">
    <w:name w:val="Unresolved Mention5"/>
    <w:basedOn w:val="DefaultParagraphFont"/>
    <w:uiPriority w:val="99"/>
    <w:semiHidden/>
    <w:unhideWhenUsed/>
    <w:rsid w:val="005C681E"/>
    <w:rPr>
      <w:color w:val="605E5C"/>
      <w:shd w:val="clear" w:color="auto" w:fill="E1DFDD"/>
    </w:rPr>
  </w:style>
  <w:style w:type="character" w:styleId="CommentReference">
    <w:name w:val="annotation reference"/>
    <w:basedOn w:val="DefaultParagraphFont"/>
    <w:uiPriority w:val="99"/>
    <w:semiHidden/>
    <w:unhideWhenUsed/>
    <w:rsid w:val="00D75830"/>
    <w:rPr>
      <w:sz w:val="16"/>
      <w:szCs w:val="16"/>
    </w:rPr>
  </w:style>
  <w:style w:type="character" w:customStyle="1" w:styleId="one-click">
    <w:name w:val="one-click"/>
    <w:basedOn w:val="DefaultParagraphFont"/>
    <w:rsid w:val="00012AC8"/>
  </w:style>
  <w:style w:type="character" w:customStyle="1" w:styleId="UnresolvedMention6">
    <w:name w:val="Unresolved Mention6"/>
    <w:basedOn w:val="DefaultParagraphFont"/>
    <w:uiPriority w:val="99"/>
    <w:semiHidden/>
    <w:unhideWhenUsed/>
    <w:rsid w:val="00F27BE2"/>
    <w:rPr>
      <w:color w:val="605E5C"/>
      <w:shd w:val="clear" w:color="auto" w:fill="E1DFDD"/>
    </w:rPr>
  </w:style>
  <w:style w:type="character" w:customStyle="1" w:styleId="UnresolvedMention7">
    <w:name w:val="Unresolved Mention7"/>
    <w:basedOn w:val="DefaultParagraphFont"/>
    <w:uiPriority w:val="99"/>
    <w:semiHidden/>
    <w:unhideWhenUsed/>
    <w:rsid w:val="00AD3A92"/>
    <w:rPr>
      <w:color w:val="605E5C"/>
      <w:shd w:val="clear" w:color="auto" w:fill="E1DFDD"/>
    </w:rPr>
  </w:style>
  <w:style w:type="paragraph" w:customStyle="1" w:styleId="headline">
    <w:name w:val="headline"/>
    <w:basedOn w:val="Normal"/>
    <w:rsid w:val="005F220A"/>
    <w:pPr>
      <w:tabs>
        <w:tab w:val="clear" w:pos="284"/>
      </w:tabs>
      <w:spacing w:before="100" w:beforeAutospacing="1" w:after="100" w:afterAutospacing="1" w:line="240" w:lineRule="auto"/>
    </w:pPr>
    <w:rPr>
      <w:rFonts w:ascii="Times New Roman" w:hAnsi="Times New Roman"/>
      <w:sz w:val="24"/>
      <w:szCs w:val="24"/>
      <w:lang w:eastAsia="en-AU"/>
    </w:rPr>
  </w:style>
  <w:style w:type="character" w:customStyle="1" w:styleId="UnresolvedMention8">
    <w:name w:val="Unresolved Mention8"/>
    <w:basedOn w:val="DefaultParagraphFont"/>
    <w:uiPriority w:val="99"/>
    <w:semiHidden/>
    <w:unhideWhenUsed/>
    <w:rsid w:val="00CB48BE"/>
    <w:rPr>
      <w:color w:val="605E5C"/>
      <w:shd w:val="clear" w:color="auto" w:fill="E1DFDD"/>
    </w:rPr>
  </w:style>
  <w:style w:type="character" w:customStyle="1" w:styleId="UnresolvedMention9">
    <w:name w:val="Unresolved Mention9"/>
    <w:basedOn w:val="DefaultParagraphFont"/>
    <w:uiPriority w:val="99"/>
    <w:semiHidden/>
    <w:unhideWhenUsed/>
    <w:rsid w:val="003F591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499308">
      <w:bodyDiv w:val="1"/>
      <w:marLeft w:val="0"/>
      <w:marRight w:val="0"/>
      <w:marTop w:val="0"/>
      <w:marBottom w:val="0"/>
      <w:divBdr>
        <w:top w:val="none" w:sz="0" w:space="0" w:color="auto"/>
        <w:left w:val="none" w:sz="0" w:space="0" w:color="auto"/>
        <w:bottom w:val="none" w:sz="0" w:space="0" w:color="auto"/>
        <w:right w:val="none" w:sz="0" w:space="0" w:color="auto"/>
      </w:divBdr>
    </w:div>
    <w:div w:id="69740461">
      <w:bodyDiv w:val="1"/>
      <w:marLeft w:val="0"/>
      <w:marRight w:val="0"/>
      <w:marTop w:val="0"/>
      <w:marBottom w:val="0"/>
      <w:divBdr>
        <w:top w:val="none" w:sz="0" w:space="0" w:color="auto"/>
        <w:left w:val="none" w:sz="0" w:space="0" w:color="auto"/>
        <w:bottom w:val="none" w:sz="0" w:space="0" w:color="auto"/>
        <w:right w:val="none" w:sz="0" w:space="0" w:color="auto"/>
      </w:divBdr>
    </w:div>
    <w:div w:id="92753390">
      <w:bodyDiv w:val="1"/>
      <w:marLeft w:val="0"/>
      <w:marRight w:val="0"/>
      <w:marTop w:val="0"/>
      <w:marBottom w:val="0"/>
      <w:divBdr>
        <w:top w:val="none" w:sz="0" w:space="0" w:color="auto"/>
        <w:left w:val="none" w:sz="0" w:space="0" w:color="auto"/>
        <w:bottom w:val="none" w:sz="0" w:space="0" w:color="auto"/>
        <w:right w:val="none" w:sz="0" w:space="0" w:color="auto"/>
      </w:divBdr>
    </w:div>
    <w:div w:id="95369970">
      <w:bodyDiv w:val="1"/>
      <w:marLeft w:val="0"/>
      <w:marRight w:val="0"/>
      <w:marTop w:val="0"/>
      <w:marBottom w:val="0"/>
      <w:divBdr>
        <w:top w:val="none" w:sz="0" w:space="0" w:color="auto"/>
        <w:left w:val="none" w:sz="0" w:space="0" w:color="auto"/>
        <w:bottom w:val="none" w:sz="0" w:space="0" w:color="auto"/>
        <w:right w:val="none" w:sz="0" w:space="0" w:color="auto"/>
      </w:divBdr>
    </w:div>
    <w:div w:id="133067671">
      <w:bodyDiv w:val="1"/>
      <w:marLeft w:val="0"/>
      <w:marRight w:val="0"/>
      <w:marTop w:val="0"/>
      <w:marBottom w:val="0"/>
      <w:divBdr>
        <w:top w:val="none" w:sz="0" w:space="0" w:color="auto"/>
        <w:left w:val="none" w:sz="0" w:space="0" w:color="auto"/>
        <w:bottom w:val="none" w:sz="0" w:space="0" w:color="auto"/>
        <w:right w:val="none" w:sz="0" w:space="0" w:color="auto"/>
      </w:divBdr>
    </w:div>
    <w:div w:id="142746013">
      <w:bodyDiv w:val="1"/>
      <w:marLeft w:val="0"/>
      <w:marRight w:val="0"/>
      <w:marTop w:val="0"/>
      <w:marBottom w:val="0"/>
      <w:divBdr>
        <w:top w:val="none" w:sz="0" w:space="0" w:color="auto"/>
        <w:left w:val="none" w:sz="0" w:space="0" w:color="auto"/>
        <w:bottom w:val="none" w:sz="0" w:space="0" w:color="auto"/>
        <w:right w:val="none" w:sz="0" w:space="0" w:color="auto"/>
      </w:divBdr>
    </w:div>
    <w:div w:id="174197260">
      <w:bodyDiv w:val="1"/>
      <w:marLeft w:val="0"/>
      <w:marRight w:val="0"/>
      <w:marTop w:val="0"/>
      <w:marBottom w:val="0"/>
      <w:divBdr>
        <w:top w:val="none" w:sz="0" w:space="0" w:color="auto"/>
        <w:left w:val="none" w:sz="0" w:space="0" w:color="auto"/>
        <w:bottom w:val="none" w:sz="0" w:space="0" w:color="auto"/>
        <w:right w:val="none" w:sz="0" w:space="0" w:color="auto"/>
      </w:divBdr>
    </w:div>
    <w:div w:id="224534430">
      <w:bodyDiv w:val="1"/>
      <w:marLeft w:val="0"/>
      <w:marRight w:val="0"/>
      <w:marTop w:val="0"/>
      <w:marBottom w:val="0"/>
      <w:divBdr>
        <w:top w:val="none" w:sz="0" w:space="0" w:color="auto"/>
        <w:left w:val="none" w:sz="0" w:space="0" w:color="auto"/>
        <w:bottom w:val="none" w:sz="0" w:space="0" w:color="auto"/>
        <w:right w:val="none" w:sz="0" w:space="0" w:color="auto"/>
      </w:divBdr>
    </w:div>
    <w:div w:id="241375538">
      <w:bodyDiv w:val="1"/>
      <w:marLeft w:val="0"/>
      <w:marRight w:val="0"/>
      <w:marTop w:val="0"/>
      <w:marBottom w:val="0"/>
      <w:divBdr>
        <w:top w:val="none" w:sz="0" w:space="0" w:color="auto"/>
        <w:left w:val="none" w:sz="0" w:space="0" w:color="auto"/>
        <w:bottom w:val="none" w:sz="0" w:space="0" w:color="auto"/>
        <w:right w:val="none" w:sz="0" w:space="0" w:color="auto"/>
      </w:divBdr>
    </w:div>
    <w:div w:id="264192929">
      <w:bodyDiv w:val="1"/>
      <w:marLeft w:val="0"/>
      <w:marRight w:val="0"/>
      <w:marTop w:val="0"/>
      <w:marBottom w:val="0"/>
      <w:divBdr>
        <w:top w:val="none" w:sz="0" w:space="0" w:color="auto"/>
        <w:left w:val="none" w:sz="0" w:space="0" w:color="auto"/>
        <w:bottom w:val="none" w:sz="0" w:space="0" w:color="auto"/>
        <w:right w:val="none" w:sz="0" w:space="0" w:color="auto"/>
      </w:divBdr>
    </w:div>
    <w:div w:id="281112355">
      <w:bodyDiv w:val="1"/>
      <w:marLeft w:val="0"/>
      <w:marRight w:val="0"/>
      <w:marTop w:val="0"/>
      <w:marBottom w:val="0"/>
      <w:divBdr>
        <w:top w:val="none" w:sz="0" w:space="0" w:color="auto"/>
        <w:left w:val="none" w:sz="0" w:space="0" w:color="auto"/>
        <w:bottom w:val="none" w:sz="0" w:space="0" w:color="auto"/>
        <w:right w:val="none" w:sz="0" w:space="0" w:color="auto"/>
      </w:divBdr>
    </w:div>
    <w:div w:id="283316867">
      <w:bodyDiv w:val="1"/>
      <w:marLeft w:val="0"/>
      <w:marRight w:val="0"/>
      <w:marTop w:val="0"/>
      <w:marBottom w:val="0"/>
      <w:divBdr>
        <w:top w:val="none" w:sz="0" w:space="0" w:color="auto"/>
        <w:left w:val="none" w:sz="0" w:space="0" w:color="auto"/>
        <w:bottom w:val="none" w:sz="0" w:space="0" w:color="auto"/>
        <w:right w:val="none" w:sz="0" w:space="0" w:color="auto"/>
      </w:divBdr>
    </w:div>
    <w:div w:id="294221267">
      <w:bodyDiv w:val="1"/>
      <w:marLeft w:val="0"/>
      <w:marRight w:val="0"/>
      <w:marTop w:val="0"/>
      <w:marBottom w:val="0"/>
      <w:divBdr>
        <w:top w:val="none" w:sz="0" w:space="0" w:color="auto"/>
        <w:left w:val="none" w:sz="0" w:space="0" w:color="auto"/>
        <w:bottom w:val="none" w:sz="0" w:space="0" w:color="auto"/>
        <w:right w:val="none" w:sz="0" w:space="0" w:color="auto"/>
      </w:divBdr>
    </w:div>
    <w:div w:id="309680144">
      <w:bodyDiv w:val="1"/>
      <w:marLeft w:val="0"/>
      <w:marRight w:val="0"/>
      <w:marTop w:val="0"/>
      <w:marBottom w:val="0"/>
      <w:divBdr>
        <w:top w:val="none" w:sz="0" w:space="0" w:color="auto"/>
        <w:left w:val="none" w:sz="0" w:space="0" w:color="auto"/>
        <w:bottom w:val="none" w:sz="0" w:space="0" w:color="auto"/>
        <w:right w:val="none" w:sz="0" w:space="0" w:color="auto"/>
      </w:divBdr>
    </w:div>
    <w:div w:id="316616703">
      <w:bodyDiv w:val="1"/>
      <w:marLeft w:val="0"/>
      <w:marRight w:val="0"/>
      <w:marTop w:val="0"/>
      <w:marBottom w:val="0"/>
      <w:divBdr>
        <w:top w:val="none" w:sz="0" w:space="0" w:color="auto"/>
        <w:left w:val="none" w:sz="0" w:space="0" w:color="auto"/>
        <w:bottom w:val="none" w:sz="0" w:space="0" w:color="auto"/>
        <w:right w:val="none" w:sz="0" w:space="0" w:color="auto"/>
      </w:divBdr>
    </w:div>
    <w:div w:id="318459534">
      <w:bodyDiv w:val="1"/>
      <w:marLeft w:val="0"/>
      <w:marRight w:val="0"/>
      <w:marTop w:val="0"/>
      <w:marBottom w:val="0"/>
      <w:divBdr>
        <w:top w:val="none" w:sz="0" w:space="0" w:color="auto"/>
        <w:left w:val="none" w:sz="0" w:space="0" w:color="auto"/>
        <w:bottom w:val="none" w:sz="0" w:space="0" w:color="auto"/>
        <w:right w:val="none" w:sz="0" w:space="0" w:color="auto"/>
      </w:divBdr>
    </w:div>
    <w:div w:id="382292198">
      <w:bodyDiv w:val="1"/>
      <w:marLeft w:val="0"/>
      <w:marRight w:val="0"/>
      <w:marTop w:val="0"/>
      <w:marBottom w:val="0"/>
      <w:divBdr>
        <w:top w:val="none" w:sz="0" w:space="0" w:color="auto"/>
        <w:left w:val="none" w:sz="0" w:space="0" w:color="auto"/>
        <w:bottom w:val="none" w:sz="0" w:space="0" w:color="auto"/>
        <w:right w:val="none" w:sz="0" w:space="0" w:color="auto"/>
      </w:divBdr>
    </w:div>
    <w:div w:id="403184588">
      <w:bodyDiv w:val="1"/>
      <w:marLeft w:val="0"/>
      <w:marRight w:val="0"/>
      <w:marTop w:val="0"/>
      <w:marBottom w:val="0"/>
      <w:divBdr>
        <w:top w:val="none" w:sz="0" w:space="0" w:color="auto"/>
        <w:left w:val="none" w:sz="0" w:space="0" w:color="auto"/>
        <w:bottom w:val="none" w:sz="0" w:space="0" w:color="auto"/>
        <w:right w:val="none" w:sz="0" w:space="0" w:color="auto"/>
      </w:divBdr>
    </w:div>
    <w:div w:id="436995074">
      <w:bodyDiv w:val="1"/>
      <w:marLeft w:val="0"/>
      <w:marRight w:val="0"/>
      <w:marTop w:val="0"/>
      <w:marBottom w:val="0"/>
      <w:divBdr>
        <w:top w:val="none" w:sz="0" w:space="0" w:color="auto"/>
        <w:left w:val="none" w:sz="0" w:space="0" w:color="auto"/>
        <w:bottom w:val="none" w:sz="0" w:space="0" w:color="auto"/>
        <w:right w:val="none" w:sz="0" w:space="0" w:color="auto"/>
      </w:divBdr>
    </w:div>
    <w:div w:id="440300028">
      <w:bodyDiv w:val="1"/>
      <w:marLeft w:val="0"/>
      <w:marRight w:val="0"/>
      <w:marTop w:val="0"/>
      <w:marBottom w:val="0"/>
      <w:divBdr>
        <w:top w:val="none" w:sz="0" w:space="0" w:color="auto"/>
        <w:left w:val="none" w:sz="0" w:space="0" w:color="auto"/>
        <w:bottom w:val="none" w:sz="0" w:space="0" w:color="auto"/>
        <w:right w:val="none" w:sz="0" w:space="0" w:color="auto"/>
      </w:divBdr>
    </w:div>
    <w:div w:id="447043613">
      <w:bodyDiv w:val="1"/>
      <w:marLeft w:val="0"/>
      <w:marRight w:val="0"/>
      <w:marTop w:val="0"/>
      <w:marBottom w:val="0"/>
      <w:divBdr>
        <w:top w:val="none" w:sz="0" w:space="0" w:color="auto"/>
        <w:left w:val="none" w:sz="0" w:space="0" w:color="auto"/>
        <w:bottom w:val="none" w:sz="0" w:space="0" w:color="auto"/>
        <w:right w:val="none" w:sz="0" w:space="0" w:color="auto"/>
      </w:divBdr>
    </w:div>
    <w:div w:id="455608391">
      <w:bodyDiv w:val="1"/>
      <w:marLeft w:val="0"/>
      <w:marRight w:val="0"/>
      <w:marTop w:val="0"/>
      <w:marBottom w:val="0"/>
      <w:divBdr>
        <w:top w:val="none" w:sz="0" w:space="0" w:color="auto"/>
        <w:left w:val="none" w:sz="0" w:space="0" w:color="auto"/>
        <w:bottom w:val="none" w:sz="0" w:space="0" w:color="auto"/>
        <w:right w:val="none" w:sz="0" w:space="0" w:color="auto"/>
      </w:divBdr>
    </w:div>
    <w:div w:id="463305659">
      <w:bodyDiv w:val="1"/>
      <w:marLeft w:val="0"/>
      <w:marRight w:val="0"/>
      <w:marTop w:val="0"/>
      <w:marBottom w:val="0"/>
      <w:divBdr>
        <w:top w:val="none" w:sz="0" w:space="0" w:color="auto"/>
        <w:left w:val="none" w:sz="0" w:space="0" w:color="auto"/>
        <w:bottom w:val="none" w:sz="0" w:space="0" w:color="auto"/>
        <w:right w:val="none" w:sz="0" w:space="0" w:color="auto"/>
      </w:divBdr>
    </w:div>
    <w:div w:id="495919956">
      <w:bodyDiv w:val="1"/>
      <w:marLeft w:val="0"/>
      <w:marRight w:val="0"/>
      <w:marTop w:val="0"/>
      <w:marBottom w:val="0"/>
      <w:divBdr>
        <w:top w:val="none" w:sz="0" w:space="0" w:color="auto"/>
        <w:left w:val="none" w:sz="0" w:space="0" w:color="auto"/>
        <w:bottom w:val="none" w:sz="0" w:space="0" w:color="auto"/>
        <w:right w:val="none" w:sz="0" w:space="0" w:color="auto"/>
      </w:divBdr>
    </w:div>
    <w:div w:id="502478619">
      <w:bodyDiv w:val="1"/>
      <w:marLeft w:val="0"/>
      <w:marRight w:val="0"/>
      <w:marTop w:val="0"/>
      <w:marBottom w:val="0"/>
      <w:divBdr>
        <w:top w:val="none" w:sz="0" w:space="0" w:color="auto"/>
        <w:left w:val="none" w:sz="0" w:space="0" w:color="auto"/>
        <w:bottom w:val="none" w:sz="0" w:space="0" w:color="auto"/>
        <w:right w:val="none" w:sz="0" w:space="0" w:color="auto"/>
      </w:divBdr>
    </w:div>
    <w:div w:id="508057221">
      <w:bodyDiv w:val="1"/>
      <w:marLeft w:val="0"/>
      <w:marRight w:val="0"/>
      <w:marTop w:val="0"/>
      <w:marBottom w:val="0"/>
      <w:divBdr>
        <w:top w:val="none" w:sz="0" w:space="0" w:color="auto"/>
        <w:left w:val="none" w:sz="0" w:space="0" w:color="auto"/>
        <w:bottom w:val="none" w:sz="0" w:space="0" w:color="auto"/>
        <w:right w:val="none" w:sz="0" w:space="0" w:color="auto"/>
      </w:divBdr>
    </w:div>
    <w:div w:id="534847704">
      <w:bodyDiv w:val="1"/>
      <w:marLeft w:val="0"/>
      <w:marRight w:val="0"/>
      <w:marTop w:val="0"/>
      <w:marBottom w:val="0"/>
      <w:divBdr>
        <w:top w:val="none" w:sz="0" w:space="0" w:color="auto"/>
        <w:left w:val="none" w:sz="0" w:space="0" w:color="auto"/>
        <w:bottom w:val="none" w:sz="0" w:space="0" w:color="auto"/>
        <w:right w:val="none" w:sz="0" w:space="0" w:color="auto"/>
      </w:divBdr>
    </w:div>
    <w:div w:id="534972299">
      <w:bodyDiv w:val="1"/>
      <w:marLeft w:val="0"/>
      <w:marRight w:val="0"/>
      <w:marTop w:val="0"/>
      <w:marBottom w:val="0"/>
      <w:divBdr>
        <w:top w:val="none" w:sz="0" w:space="0" w:color="auto"/>
        <w:left w:val="none" w:sz="0" w:space="0" w:color="auto"/>
        <w:bottom w:val="none" w:sz="0" w:space="0" w:color="auto"/>
        <w:right w:val="none" w:sz="0" w:space="0" w:color="auto"/>
      </w:divBdr>
    </w:div>
    <w:div w:id="538249615">
      <w:bodyDiv w:val="1"/>
      <w:marLeft w:val="0"/>
      <w:marRight w:val="0"/>
      <w:marTop w:val="0"/>
      <w:marBottom w:val="0"/>
      <w:divBdr>
        <w:top w:val="none" w:sz="0" w:space="0" w:color="auto"/>
        <w:left w:val="none" w:sz="0" w:space="0" w:color="auto"/>
        <w:bottom w:val="none" w:sz="0" w:space="0" w:color="auto"/>
        <w:right w:val="none" w:sz="0" w:space="0" w:color="auto"/>
      </w:divBdr>
    </w:div>
    <w:div w:id="603806315">
      <w:bodyDiv w:val="1"/>
      <w:marLeft w:val="0"/>
      <w:marRight w:val="0"/>
      <w:marTop w:val="0"/>
      <w:marBottom w:val="0"/>
      <w:divBdr>
        <w:top w:val="none" w:sz="0" w:space="0" w:color="auto"/>
        <w:left w:val="none" w:sz="0" w:space="0" w:color="auto"/>
        <w:bottom w:val="none" w:sz="0" w:space="0" w:color="auto"/>
        <w:right w:val="none" w:sz="0" w:space="0" w:color="auto"/>
      </w:divBdr>
    </w:div>
    <w:div w:id="621351039">
      <w:bodyDiv w:val="1"/>
      <w:marLeft w:val="0"/>
      <w:marRight w:val="0"/>
      <w:marTop w:val="0"/>
      <w:marBottom w:val="0"/>
      <w:divBdr>
        <w:top w:val="none" w:sz="0" w:space="0" w:color="auto"/>
        <w:left w:val="none" w:sz="0" w:space="0" w:color="auto"/>
        <w:bottom w:val="none" w:sz="0" w:space="0" w:color="auto"/>
        <w:right w:val="none" w:sz="0" w:space="0" w:color="auto"/>
      </w:divBdr>
    </w:div>
    <w:div w:id="668211630">
      <w:bodyDiv w:val="1"/>
      <w:marLeft w:val="0"/>
      <w:marRight w:val="0"/>
      <w:marTop w:val="0"/>
      <w:marBottom w:val="0"/>
      <w:divBdr>
        <w:top w:val="none" w:sz="0" w:space="0" w:color="auto"/>
        <w:left w:val="none" w:sz="0" w:space="0" w:color="auto"/>
        <w:bottom w:val="none" w:sz="0" w:space="0" w:color="auto"/>
        <w:right w:val="none" w:sz="0" w:space="0" w:color="auto"/>
      </w:divBdr>
    </w:div>
    <w:div w:id="668288980">
      <w:bodyDiv w:val="1"/>
      <w:marLeft w:val="0"/>
      <w:marRight w:val="0"/>
      <w:marTop w:val="0"/>
      <w:marBottom w:val="0"/>
      <w:divBdr>
        <w:top w:val="none" w:sz="0" w:space="0" w:color="auto"/>
        <w:left w:val="none" w:sz="0" w:space="0" w:color="auto"/>
        <w:bottom w:val="none" w:sz="0" w:space="0" w:color="auto"/>
        <w:right w:val="none" w:sz="0" w:space="0" w:color="auto"/>
      </w:divBdr>
    </w:div>
    <w:div w:id="676924717">
      <w:bodyDiv w:val="1"/>
      <w:marLeft w:val="0"/>
      <w:marRight w:val="0"/>
      <w:marTop w:val="0"/>
      <w:marBottom w:val="0"/>
      <w:divBdr>
        <w:top w:val="none" w:sz="0" w:space="0" w:color="auto"/>
        <w:left w:val="none" w:sz="0" w:space="0" w:color="auto"/>
        <w:bottom w:val="none" w:sz="0" w:space="0" w:color="auto"/>
        <w:right w:val="none" w:sz="0" w:space="0" w:color="auto"/>
      </w:divBdr>
    </w:div>
    <w:div w:id="698746193">
      <w:bodyDiv w:val="1"/>
      <w:marLeft w:val="0"/>
      <w:marRight w:val="0"/>
      <w:marTop w:val="0"/>
      <w:marBottom w:val="0"/>
      <w:divBdr>
        <w:top w:val="none" w:sz="0" w:space="0" w:color="auto"/>
        <w:left w:val="none" w:sz="0" w:space="0" w:color="auto"/>
        <w:bottom w:val="none" w:sz="0" w:space="0" w:color="auto"/>
        <w:right w:val="none" w:sz="0" w:space="0" w:color="auto"/>
      </w:divBdr>
    </w:div>
    <w:div w:id="704717906">
      <w:bodyDiv w:val="1"/>
      <w:marLeft w:val="0"/>
      <w:marRight w:val="0"/>
      <w:marTop w:val="0"/>
      <w:marBottom w:val="0"/>
      <w:divBdr>
        <w:top w:val="none" w:sz="0" w:space="0" w:color="auto"/>
        <w:left w:val="none" w:sz="0" w:space="0" w:color="auto"/>
        <w:bottom w:val="none" w:sz="0" w:space="0" w:color="auto"/>
        <w:right w:val="none" w:sz="0" w:space="0" w:color="auto"/>
      </w:divBdr>
    </w:div>
    <w:div w:id="707416631">
      <w:bodyDiv w:val="1"/>
      <w:marLeft w:val="0"/>
      <w:marRight w:val="0"/>
      <w:marTop w:val="0"/>
      <w:marBottom w:val="0"/>
      <w:divBdr>
        <w:top w:val="none" w:sz="0" w:space="0" w:color="auto"/>
        <w:left w:val="none" w:sz="0" w:space="0" w:color="auto"/>
        <w:bottom w:val="none" w:sz="0" w:space="0" w:color="auto"/>
        <w:right w:val="none" w:sz="0" w:space="0" w:color="auto"/>
      </w:divBdr>
    </w:div>
    <w:div w:id="710031771">
      <w:bodyDiv w:val="1"/>
      <w:marLeft w:val="0"/>
      <w:marRight w:val="0"/>
      <w:marTop w:val="0"/>
      <w:marBottom w:val="0"/>
      <w:divBdr>
        <w:top w:val="none" w:sz="0" w:space="0" w:color="auto"/>
        <w:left w:val="none" w:sz="0" w:space="0" w:color="auto"/>
        <w:bottom w:val="none" w:sz="0" w:space="0" w:color="auto"/>
        <w:right w:val="none" w:sz="0" w:space="0" w:color="auto"/>
      </w:divBdr>
    </w:div>
    <w:div w:id="742289153">
      <w:bodyDiv w:val="1"/>
      <w:marLeft w:val="0"/>
      <w:marRight w:val="0"/>
      <w:marTop w:val="0"/>
      <w:marBottom w:val="0"/>
      <w:divBdr>
        <w:top w:val="none" w:sz="0" w:space="0" w:color="auto"/>
        <w:left w:val="none" w:sz="0" w:space="0" w:color="auto"/>
        <w:bottom w:val="none" w:sz="0" w:space="0" w:color="auto"/>
        <w:right w:val="none" w:sz="0" w:space="0" w:color="auto"/>
      </w:divBdr>
    </w:div>
    <w:div w:id="783689625">
      <w:bodyDiv w:val="1"/>
      <w:marLeft w:val="0"/>
      <w:marRight w:val="0"/>
      <w:marTop w:val="0"/>
      <w:marBottom w:val="0"/>
      <w:divBdr>
        <w:top w:val="none" w:sz="0" w:space="0" w:color="auto"/>
        <w:left w:val="none" w:sz="0" w:space="0" w:color="auto"/>
        <w:bottom w:val="none" w:sz="0" w:space="0" w:color="auto"/>
        <w:right w:val="none" w:sz="0" w:space="0" w:color="auto"/>
      </w:divBdr>
    </w:div>
    <w:div w:id="786041491">
      <w:bodyDiv w:val="1"/>
      <w:marLeft w:val="0"/>
      <w:marRight w:val="0"/>
      <w:marTop w:val="0"/>
      <w:marBottom w:val="0"/>
      <w:divBdr>
        <w:top w:val="none" w:sz="0" w:space="0" w:color="auto"/>
        <w:left w:val="none" w:sz="0" w:space="0" w:color="auto"/>
        <w:bottom w:val="none" w:sz="0" w:space="0" w:color="auto"/>
        <w:right w:val="none" w:sz="0" w:space="0" w:color="auto"/>
      </w:divBdr>
    </w:div>
    <w:div w:id="795878083">
      <w:bodyDiv w:val="1"/>
      <w:marLeft w:val="0"/>
      <w:marRight w:val="0"/>
      <w:marTop w:val="0"/>
      <w:marBottom w:val="0"/>
      <w:divBdr>
        <w:top w:val="none" w:sz="0" w:space="0" w:color="auto"/>
        <w:left w:val="none" w:sz="0" w:space="0" w:color="auto"/>
        <w:bottom w:val="none" w:sz="0" w:space="0" w:color="auto"/>
        <w:right w:val="none" w:sz="0" w:space="0" w:color="auto"/>
      </w:divBdr>
    </w:div>
    <w:div w:id="827596249">
      <w:bodyDiv w:val="1"/>
      <w:marLeft w:val="0"/>
      <w:marRight w:val="0"/>
      <w:marTop w:val="0"/>
      <w:marBottom w:val="0"/>
      <w:divBdr>
        <w:top w:val="none" w:sz="0" w:space="0" w:color="auto"/>
        <w:left w:val="none" w:sz="0" w:space="0" w:color="auto"/>
        <w:bottom w:val="none" w:sz="0" w:space="0" w:color="auto"/>
        <w:right w:val="none" w:sz="0" w:space="0" w:color="auto"/>
      </w:divBdr>
    </w:div>
    <w:div w:id="837230893">
      <w:bodyDiv w:val="1"/>
      <w:marLeft w:val="0"/>
      <w:marRight w:val="0"/>
      <w:marTop w:val="0"/>
      <w:marBottom w:val="0"/>
      <w:divBdr>
        <w:top w:val="none" w:sz="0" w:space="0" w:color="auto"/>
        <w:left w:val="none" w:sz="0" w:space="0" w:color="auto"/>
        <w:bottom w:val="none" w:sz="0" w:space="0" w:color="auto"/>
        <w:right w:val="none" w:sz="0" w:space="0" w:color="auto"/>
      </w:divBdr>
    </w:div>
    <w:div w:id="843711206">
      <w:bodyDiv w:val="1"/>
      <w:marLeft w:val="0"/>
      <w:marRight w:val="0"/>
      <w:marTop w:val="0"/>
      <w:marBottom w:val="0"/>
      <w:divBdr>
        <w:top w:val="none" w:sz="0" w:space="0" w:color="auto"/>
        <w:left w:val="none" w:sz="0" w:space="0" w:color="auto"/>
        <w:bottom w:val="none" w:sz="0" w:space="0" w:color="auto"/>
        <w:right w:val="none" w:sz="0" w:space="0" w:color="auto"/>
      </w:divBdr>
    </w:div>
    <w:div w:id="881404177">
      <w:bodyDiv w:val="1"/>
      <w:marLeft w:val="0"/>
      <w:marRight w:val="0"/>
      <w:marTop w:val="0"/>
      <w:marBottom w:val="0"/>
      <w:divBdr>
        <w:top w:val="none" w:sz="0" w:space="0" w:color="auto"/>
        <w:left w:val="none" w:sz="0" w:space="0" w:color="auto"/>
        <w:bottom w:val="none" w:sz="0" w:space="0" w:color="auto"/>
        <w:right w:val="none" w:sz="0" w:space="0" w:color="auto"/>
      </w:divBdr>
    </w:div>
    <w:div w:id="895622984">
      <w:bodyDiv w:val="1"/>
      <w:marLeft w:val="0"/>
      <w:marRight w:val="0"/>
      <w:marTop w:val="0"/>
      <w:marBottom w:val="0"/>
      <w:divBdr>
        <w:top w:val="none" w:sz="0" w:space="0" w:color="auto"/>
        <w:left w:val="none" w:sz="0" w:space="0" w:color="auto"/>
        <w:bottom w:val="none" w:sz="0" w:space="0" w:color="auto"/>
        <w:right w:val="none" w:sz="0" w:space="0" w:color="auto"/>
      </w:divBdr>
    </w:div>
    <w:div w:id="940066779">
      <w:bodyDiv w:val="1"/>
      <w:marLeft w:val="0"/>
      <w:marRight w:val="0"/>
      <w:marTop w:val="0"/>
      <w:marBottom w:val="0"/>
      <w:divBdr>
        <w:top w:val="none" w:sz="0" w:space="0" w:color="auto"/>
        <w:left w:val="none" w:sz="0" w:space="0" w:color="auto"/>
        <w:bottom w:val="none" w:sz="0" w:space="0" w:color="auto"/>
        <w:right w:val="none" w:sz="0" w:space="0" w:color="auto"/>
      </w:divBdr>
    </w:div>
    <w:div w:id="942956719">
      <w:bodyDiv w:val="1"/>
      <w:marLeft w:val="0"/>
      <w:marRight w:val="0"/>
      <w:marTop w:val="0"/>
      <w:marBottom w:val="0"/>
      <w:divBdr>
        <w:top w:val="none" w:sz="0" w:space="0" w:color="auto"/>
        <w:left w:val="none" w:sz="0" w:space="0" w:color="auto"/>
        <w:bottom w:val="none" w:sz="0" w:space="0" w:color="auto"/>
        <w:right w:val="none" w:sz="0" w:space="0" w:color="auto"/>
      </w:divBdr>
    </w:div>
    <w:div w:id="955940791">
      <w:bodyDiv w:val="1"/>
      <w:marLeft w:val="0"/>
      <w:marRight w:val="0"/>
      <w:marTop w:val="0"/>
      <w:marBottom w:val="0"/>
      <w:divBdr>
        <w:top w:val="none" w:sz="0" w:space="0" w:color="auto"/>
        <w:left w:val="none" w:sz="0" w:space="0" w:color="auto"/>
        <w:bottom w:val="none" w:sz="0" w:space="0" w:color="auto"/>
        <w:right w:val="none" w:sz="0" w:space="0" w:color="auto"/>
      </w:divBdr>
    </w:div>
    <w:div w:id="969171491">
      <w:bodyDiv w:val="1"/>
      <w:marLeft w:val="0"/>
      <w:marRight w:val="0"/>
      <w:marTop w:val="0"/>
      <w:marBottom w:val="0"/>
      <w:divBdr>
        <w:top w:val="none" w:sz="0" w:space="0" w:color="auto"/>
        <w:left w:val="none" w:sz="0" w:space="0" w:color="auto"/>
        <w:bottom w:val="none" w:sz="0" w:space="0" w:color="auto"/>
        <w:right w:val="none" w:sz="0" w:space="0" w:color="auto"/>
      </w:divBdr>
    </w:div>
    <w:div w:id="1066606771">
      <w:bodyDiv w:val="1"/>
      <w:marLeft w:val="0"/>
      <w:marRight w:val="0"/>
      <w:marTop w:val="0"/>
      <w:marBottom w:val="0"/>
      <w:divBdr>
        <w:top w:val="none" w:sz="0" w:space="0" w:color="auto"/>
        <w:left w:val="none" w:sz="0" w:space="0" w:color="auto"/>
        <w:bottom w:val="none" w:sz="0" w:space="0" w:color="auto"/>
        <w:right w:val="none" w:sz="0" w:space="0" w:color="auto"/>
      </w:divBdr>
    </w:div>
    <w:div w:id="1077937871">
      <w:bodyDiv w:val="1"/>
      <w:marLeft w:val="0"/>
      <w:marRight w:val="0"/>
      <w:marTop w:val="0"/>
      <w:marBottom w:val="0"/>
      <w:divBdr>
        <w:top w:val="none" w:sz="0" w:space="0" w:color="auto"/>
        <w:left w:val="none" w:sz="0" w:space="0" w:color="auto"/>
        <w:bottom w:val="none" w:sz="0" w:space="0" w:color="auto"/>
        <w:right w:val="none" w:sz="0" w:space="0" w:color="auto"/>
      </w:divBdr>
    </w:div>
    <w:div w:id="1104494252">
      <w:bodyDiv w:val="1"/>
      <w:marLeft w:val="0"/>
      <w:marRight w:val="0"/>
      <w:marTop w:val="0"/>
      <w:marBottom w:val="0"/>
      <w:divBdr>
        <w:top w:val="none" w:sz="0" w:space="0" w:color="auto"/>
        <w:left w:val="none" w:sz="0" w:space="0" w:color="auto"/>
        <w:bottom w:val="none" w:sz="0" w:space="0" w:color="auto"/>
        <w:right w:val="none" w:sz="0" w:space="0" w:color="auto"/>
      </w:divBdr>
      <w:divsChild>
        <w:div w:id="450636351">
          <w:marLeft w:val="0"/>
          <w:marRight w:val="0"/>
          <w:marTop w:val="0"/>
          <w:marBottom w:val="0"/>
          <w:divBdr>
            <w:top w:val="none" w:sz="0" w:space="0" w:color="auto"/>
            <w:left w:val="none" w:sz="0" w:space="0" w:color="auto"/>
            <w:bottom w:val="none" w:sz="0" w:space="0" w:color="auto"/>
            <w:right w:val="none" w:sz="0" w:space="0" w:color="auto"/>
          </w:divBdr>
          <w:divsChild>
            <w:div w:id="152727127">
              <w:marLeft w:val="0"/>
              <w:marRight w:val="0"/>
              <w:marTop w:val="0"/>
              <w:marBottom w:val="0"/>
              <w:divBdr>
                <w:top w:val="none" w:sz="0" w:space="0" w:color="auto"/>
                <w:left w:val="none" w:sz="0" w:space="0" w:color="auto"/>
                <w:bottom w:val="none" w:sz="0" w:space="0" w:color="auto"/>
                <w:right w:val="none" w:sz="0" w:space="0" w:color="auto"/>
              </w:divBdr>
              <w:divsChild>
                <w:div w:id="1015497881">
                  <w:marLeft w:val="0"/>
                  <w:marRight w:val="0"/>
                  <w:marTop w:val="0"/>
                  <w:marBottom w:val="0"/>
                  <w:divBdr>
                    <w:top w:val="none" w:sz="0" w:space="0" w:color="auto"/>
                    <w:left w:val="none" w:sz="0" w:space="0" w:color="auto"/>
                    <w:bottom w:val="none" w:sz="0" w:space="0" w:color="auto"/>
                    <w:right w:val="none" w:sz="0" w:space="0" w:color="auto"/>
                  </w:divBdr>
                  <w:divsChild>
                    <w:div w:id="1153060788">
                      <w:marLeft w:val="0"/>
                      <w:marRight w:val="0"/>
                      <w:marTop w:val="0"/>
                      <w:marBottom w:val="0"/>
                      <w:divBdr>
                        <w:top w:val="none" w:sz="0" w:space="0" w:color="auto"/>
                        <w:left w:val="none" w:sz="0" w:space="0" w:color="auto"/>
                        <w:bottom w:val="none" w:sz="0" w:space="0" w:color="auto"/>
                        <w:right w:val="none" w:sz="0" w:space="0" w:color="auto"/>
                      </w:divBdr>
                    </w:div>
                  </w:divsChild>
                </w:div>
                <w:div w:id="1253009180">
                  <w:marLeft w:val="0"/>
                  <w:marRight w:val="0"/>
                  <w:marTop w:val="0"/>
                  <w:marBottom w:val="0"/>
                  <w:divBdr>
                    <w:top w:val="none" w:sz="0" w:space="0" w:color="auto"/>
                    <w:left w:val="none" w:sz="0" w:space="0" w:color="auto"/>
                    <w:bottom w:val="none" w:sz="0" w:space="0" w:color="auto"/>
                    <w:right w:val="none" w:sz="0" w:space="0" w:color="auto"/>
                  </w:divBdr>
                </w:div>
                <w:div w:id="1809858414">
                  <w:marLeft w:val="0"/>
                  <w:marRight w:val="0"/>
                  <w:marTop w:val="0"/>
                  <w:marBottom w:val="0"/>
                  <w:divBdr>
                    <w:top w:val="none" w:sz="0" w:space="0" w:color="auto"/>
                    <w:left w:val="none" w:sz="0" w:space="0" w:color="auto"/>
                    <w:bottom w:val="none" w:sz="0" w:space="0" w:color="auto"/>
                    <w:right w:val="none" w:sz="0" w:space="0" w:color="auto"/>
                  </w:divBdr>
                  <w:divsChild>
                    <w:div w:id="1362362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9741810">
      <w:bodyDiv w:val="1"/>
      <w:marLeft w:val="0"/>
      <w:marRight w:val="0"/>
      <w:marTop w:val="0"/>
      <w:marBottom w:val="0"/>
      <w:divBdr>
        <w:top w:val="none" w:sz="0" w:space="0" w:color="auto"/>
        <w:left w:val="none" w:sz="0" w:space="0" w:color="auto"/>
        <w:bottom w:val="none" w:sz="0" w:space="0" w:color="auto"/>
        <w:right w:val="none" w:sz="0" w:space="0" w:color="auto"/>
      </w:divBdr>
    </w:div>
    <w:div w:id="1164662901">
      <w:bodyDiv w:val="1"/>
      <w:marLeft w:val="0"/>
      <w:marRight w:val="0"/>
      <w:marTop w:val="0"/>
      <w:marBottom w:val="0"/>
      <w:divBdr>
        <w:top w:val="none" w:sz="0" w:space="0" w:color="auto"/>
        <w:left w:val="none" w:sz="0" w:space="0" w:color="auto"/>
        <w:bottom w:val="none" w:sz="0" w:space="0" w:color="auto"/>
        <w:right w:val="none" w:sz="0" w:space="0" w:color="auto"/>
      </w:divBdr>
    </w:div>
    <w:div w:id="1172646873">
      <w:bodyDiv w:val="1"/>
      <w:marLeft w:val="0"/>
      <w:marRight w:val="0"/>
      <w:marTop w:val="0"/>
      <w:marBottom w:val="0"/>
      <w:divBdr>
        <w:top w:val="none" w:sz="0" w:space="0" w:color="auto"/>
        <w:left w:val="none" w:sz="0" w:space="0" w:color="auto"/>
        <w:bottom w:val="none" w:sz="0" w:space="0" w:color="auto"/>
        <w:right w:val="none" w:sz="0" w:space="0" w:color="auto"/>
      </w:divBdr>
    </w:div>
    <w:div w:id="1188450015">
      <w:bodyDiv w:val="1"/>
      <w:marLeft w:val="0"/>
      <w:marRight w:val="0"/>
      <w:marTop w:val="0"/>
      <w:marBottom w:val="0"/>
      <w:divBdr>
        <w:top w:val="none" w:sz="0" w:space="0" w:color="auto"/>
        <w:left w:val="none" w:sz="0" w:space="0" w:color="auto"/>
        <w:bottom w:val="none" w:sz="0" w:space="0" w:color="auto"/>
        <w:right w:val="none" w:sz="0" w:space="0" w:color="auto"/>
      </w:divBdr>
    </w:div>
    <w:div w:id="1214660247">
      <w:bodyDiv w:val="1"/>
      <w:marLeft w:val="0"/>
      <w:marRight w:val="0"/>
      <w:marTop w:val="0"/>
      <w:marBottom w:val="0"/>
      <w:divBdr>
        <w:top w:val="none" w:sz="0" w:space="0" w:color="auto"/>
        <w:left w:val="none" w:sz="0" w:space="0" w:color="auto"/>
        <w:bottom w:val="none" w:sz="0" w:space="0" w:color="auto"/>
        <w:right w:val="none" w:sz="0" w:space="0" w:color="auto"/>
      </w:divBdr>
    </w:div>
    <w:div w:id="1243830986">
      <w:bodyDiv w:val="1"/>
      <w:marLeft w:val="0"/>
      <w:marRight w:val="0"/>
      <w:marTop w:val="0"/>
      <w:marBottom w:val="0"/>
      <w:divBdr>
        <w:top w:val="none" w:sz="0" w:space="0" w:color="auto"/>
        <w:left w:val="none" w:sz="0" w:space="0" w:color="auto"/>
        <w:bottom w:val="none" w:sz="0" w:space="0" w:color="auto"/>
        <w:right w:val="none" w:sz="0" w:space="0" w:color="auto"/>
      </w:divBdr>
    </w:div>
    <w:div w:id="1254245852">
      <w:bodyDiv w:val="1"/>
      <w:marLeft w:val="0"/>
      <w:marRight w:val="0"/>
      <w:marTop w:val="0"/>
      <w:marBottom w:val="0"/>
      <w:divBdr>
        <w:top w:val="none" w:sz="0" w:space="0" w:color="auto"/>
        <w:left w:val="none" w:sz="0" w:space="0" w:color="auto"/>
        <w:bottom w:val="none" w:sz="0" w:space="0" w:color="auto"/>
        <w:right w:val="none" w:sz="0" w:space="0" w:color="auto"/>
      </w:divBdr>
    </w:div>
    <w:div w:id="1263145023">
      <w:bodyDiv w:val="1"/>
      <w:marLeft w:val="0"/>
      <w:marRight w:val="0"/>
      <w:marTop w:val="0"/>
      <w:marBottom w:val="0"/>
      <w:divBdr>
        <w:top w:val="none" w:sz="0" w:space="0" w:color="auto"/>
        <w:left w:val="none" w:sz="0" w:space="0" w:color="auto"/>
        <w:bottom w:val="none" w:sz="0" w:space="0" w:color="auto"/>
        <w:right w:val="none" w:sz="0" w:space="0" w:color="auto"/>
      </w:divBdr>
    </w:div>
    <w:div w:id="1266956958">
      <w:bodyDiv w:val="1"/>
      <w:marLeft w:val="0"/>
      <w:marRight w:val="0"/>
      <w:marTop w:val="0"/>
      <w:marBottom w:val="0"/>
      <w:divBdr>
        <w:top w:val="none" w:sz="0" w:space="0" w:color="auto"/>
        <w:left w:val="none" w:sz="0" w:space="0" w:color="auto"/>
        <w:bottom w:val="none" w:sz="0" w:space="0" w:color="auto"/>
        <w:right w:val="none" w:sz="0" w:space="0" w:color="auto"/>
      </w:divBdr>
    </w:div>
    <w:div w:id="1299722767">
      <w:bodyDiv w:val="1"/>
      <w:marLeft w:val="0"/>
      <w:marRight w:val="0"/>
      <w:marTop w:val="0"/>
      <w:marBottom w:val="0"/>
      <w:divBdr>
        <w:top w:val="none" w:sz="0" w:space="0" w:color="auto"/>
        <w:left w:val="none" w:sz="0" w:space="0" w:color="auto"/>
        <w:bottom w:val="none" w:sz="0" w:space="0" w:color="auto"/>
        <w:right w:val="none" w:sz="0" w:space="0" w:color="auto"/>
      </w:divBdr>
    </w:div>
    <w:div w:id="1307782568">
      <w:bodyDiv w:val="1"/>
      <w:marLeft w:val="0"/>
      <w:marRight w:val="0"/>
      <w:marTop w:val="0"/>
      <w:marBottom w:val="0"/>
      <w:divBdr>
        <w:top w:val="none" w:sz="0" w:space="0" w:color="auto"/>
        <w:left w:val="none" w:sz="0" w:space="0" w:color="auto"/>
        <w:bottom w:val="none" w:sz="0" w:space="0" w:color="auto"/>
        <w:right w:val="none" w:sz="0" w:space="0" w:color="auto"/>
      </w:divBdr>
    </w:div>
    <w:div w:id="1370304007">
      <w:bodyDiv w:val="1"/>
      <w:marLeft w:val="0"/>
      <w:marRight w:val="0"/>
      <w:marTop w:val="0"/>
      <w:marBottom w:val="0"/>
      <w:divBdr>
        <w:top w:val="none" w:sz="0" w:space="0" w:color="auto"/>
        <w:left w:val="none" w:sz="0" w:space="0" w:color="auto"/>
        <w:bottom w:val="none" w:sz="0" w:space="0" w:color="auto"/>
        <w:right w:val="none" w:sz="0" w:space="0" w:color="auto"/>
      </w:divBdr>
    </w:div>
    <w:div w:id="1370490017">
      <w:bodyDiv w:val="1"/>
      <w:marLeft w:val="0"/>
      <w:marRight w:val="0"/>
      <w:marTop w:val="0"/>
      <w:marBottom w:val="0"/>
      <w:divBdr>
        <w:top w:val="none" w:sz="0" w:space="0" w:color="auto"/>
        <w:left w:val="none" w:sz="0" w:space="0" w:color="auto"/>
        <w:bottom w:val="none" w:sz="0" w:space="0" w:color="auto"/>
        <w:right w:val="none" w:sz="0" w:space="0" w:color="auto"/>
      </w:divBdr>
    </w:div>
    <w:div w:id="1379089563">
      <w:bodyDiv w:val="1"/>
      <w:marLeft w:val="0"/>
      <w:marRight w:val="0"/>
      <w:marTop w:val="0"/>
      <w:marBottom w:val="0"/>
      <w:divBdr>
        <w:top w:val="none" w:sz="0" w:space="0" w:color="auto"/>
        <w:left w:val="none" w:sz="0" w:space="0" w:color="auto"/>
        <w:bottom w:val="none" w:sz="0" w:space="0" w:color="auto"/>
        <w:right w:val="none" w:sz="0" w:space="0" w:color="auto"/>
      </w:divBdr>
    </w:div>
    <w:div w:id="1381589157">
      <w:bodyDiv w:val="1"/>
      <w:marLeft w:val="0"/>
      <w:marRight w:val="0"/>
      <w:marTop w:val="0"/>
      <w:marBottom w:val="0"/>
      <w:divBdr>
        <w:top w:val="none" w:sz="0" w:space="0" w:color="auto"/>
        <w:left w:val="none" w:sz="0" w:space="0" w:color="auto"/>
        <w:bottom w:val="none" w:sz="0" w:space="0" w:color="auto"/>
        <w:right w:val="none" w:sz="0" w:space="0" w:color="auto"/>
      </w:divBdr>
    </w:div>
    <w:div w:id="1400785014">
      <w:bodyDiv w:val="1"/>
      <w:marLeft w:val="0"/>
      <w:marRight w:val="0"/>
      <w:marTop w:val="0"/>
      <w:marBottom w:val="0"/>
      <w:divBdr>
        <w:top w:val="none" w:sz="0" w:space="0" w:color="auto"/>
        <w:left w:val="none" w:sz="0" w:space="0" w:color="auto"/>
        <w:bottom w:val="none" w:sz="0" w:space="0" w:color="auto"/>
        <w:right w:val="none" w:sz="0" w:space="0" w:color="auto"/>
      </w:divBdr>
    </w:div>
    <w:div w:id="1403141833">
      <w:bodyDiv w:val="1"/>
      <w:marLeft w:val="0"/>
      <w:marRight w:val="0"/>
      <w:marTop w:val="0"/>
      <w:marBottom w:val="0"/>
      <w:divBdr>
        <w:top w:val="none" w:sz="0" w:space="0" w:color="auto"/>
        <w:left w:val="none" w:sz="0" w:space="0" w:color="auto"/>
        <w:bottom w:val="none" w:sz="0" w:space="0" w:color="auto"/>
        <w:right w:val="none" w:sz="0" w:space="0" w:color="auto"/>
      </w:divBdr>
    </w:div>
    <w:div w:id="1417366112">
      <w:bodyDiv w:val="1"/>
      <w:marLeft w:val="0"/>
      <w:marRight w:val="0"/>
      <w:marTop w:val="0"/>
      <w:marBottom w:val="0"/>
      <w:divBdr>
        <w:top w:val="none" w:sz="0" w:space="0" w:color="auto"/>
        <w:left w:val="none" w:sz="0" w:space="0" w:color="auto"/>
        <w:bottom w:val="none" w:sz="0" w:space="0" w:color="auto"/>
        <w:right w:val="none" w:sz="0" w:space="0" w:color="auto"/>
      </w:divBdr>
    </w:div>
    <w:div w:id="1489662911">
      <w:bodyDiv w:val="1"/>
      <w:marLeft w:val="0"/>
      <w:marRight w:val="0"/>
      <w:marTop w:val="0"/>
      <w:marBottom w:val="0"/>
      <w:divBdr>
        <w:top w:val="none" w:sz="0" w:space="0" w:color="auto"/>
        <w:left w:val="none" w:sz="0" w:space="0" w:color="auto"/>
        <w:bottom w:val="none" w:sz="0" w:space="0" w:color="auto"/>
        <w:right w:val="none" w:sz="0" w:space="0" w:color="auto"/>
      </w:divBdr>
    </w:div>
    <w:div w:id="1561558324">
      <w:bodyDiv w:val="1"/>
      <w:marLeft w:val="0"/>
      <w:marRight w:val="0"/>
      <w:marTop w:val="0"/>
      <w:marBottom w:val="0"/>
      <w:divBdr>
        <w:top w:val="none" w:sz="0" w:space="0" w:color="auto"/>
        <w:left w:val="none" w:sz="0" w:space="0" w:color="auto"/>
        <w:bottom w:val="none" w:sz="0" w:space="0" w:color="auto"/>
        <w:right w:val="none" w:sz="0" w:space="0" w:color="auto"/>
      </w:divBdr>
    </w:div>
    <w:div w:id="1566604777">
      <w:bodyDiv w:val="1"/>
      <w:marLeft w:val="0"/>
      <w:marRight w:val="0"/>
      <w:marTop w:val="0"/>
      <w:marBottom w:val="0"/>
      <w:divBdr>
        <w:top w:val="none" w:sz="0" w:space="0" w:color="auto"/>
        <w:left w:val="none" w:sz="0" w:space="0" w:color="auto"/>
        <w:bottom w:val="none" w:sz="0" w:space="0" w:color="auto"/>
        <w:right w:val="none" w:sz="0" w:space="0" w:color="auto"/>
      </w:divBdr>
    </w:div>
    <w:div w:id="1603418665">
      <w:bodyDiv w:val="1"/>
      <w:marLeft w:val="0"/>
      <w:marRight w:val="0"/>
      <w:marTop w:val="0"/>
      <w:marBottom w:val="0"/>
      <w:divBdr>
        <w:top w:val="none" w:sz="0" w:space="0" w:color="auto"/>
        <w:left w:val="none" w:sz="0" w:space="0" w:color="auto"/>
        <w:bottom w:val="none" w:sz="0" w:space="0" w:color="auto"/>
        <w:right w:val="none" w:sz="0" w:space="0" w:color="auto"/>
      </w:divBdr>
    </w:div>
    <w:div w:id="1714427840">
      <w:bodyDiv w:val="1"/>
      <w:marLeft w:val="0"/>
      <w:marRight w:val="0"/>
      <w:marTop w:val="0"/>
      <w:marBottom w:val="0"/>
      <w:divBdr>
        <w:top w:val="none" w:sz="0" w:space="0" w:color="auto"/>
        <w:left w:val="none" w:sz="0" w:space="0" w:color="auto"/>
        <w:bottom w:val="none" w:sz="0" w:space="0" w:color="auto"/>
        <w:right w:val="none" w:sz="0" w:space="0" w:color="auto"/>
      </w:divBdr>
    </w:div>
    <w:div w:id="1718119377">
      <w:bodyDiv w:val="1"/>
      <w:marLeft w:val="0"/>
      <w:marRight w:val="0"/>
      <w:marTop w:val="0"/>
      <w:marBottom w:val="0"/>
      <w:divBdr>
        <w:top w:val="none" w:sz="0" w:space="0" w:color="auto"/>
        <w:left w:val="none" w:sz="0" w:space="0" w:color="auto"/>
        <w:bottom w:val="none" w:sz="0" w:space="0" w:color="auto"/>
        <w:right w:val="none" w:sz="0" w:space="0" w:color="auto"/>
      </w:divBdr>
    </w:div>
    <w:div w:id="1731270224">
      <w:bodyDiv w:val="1"/>
      <w:marLeft w:val="0"/>
      <w:marRight w:val="0"/>
      <w:marTop w:val="0"/>
      <w:marBottom w:val="0"/>
      <w:divBdr>
        <w:top w:val="none" w:sz="0" w:space="0" w:color="auto"/>
        <w:left w:val="none" w:sz="0" w:space="0" w:color="auto"/>
        <w:bottom w:val="none" w:sz="0" w:space="0" w:color="auto"/>
        <w:right w:val="none" w:sz="0" w:space="0" w:color="auto"/>
      </w:divBdr>
    </w:div>
    <w:div w:id="1756629660">
      <w:bodyDiv w:val="1"/>
      <w:marLeft w:val="0"/>
      <w:marRight w:val="0"/>
      <w:marTop w:val="0"/>
      <w:marBottom w:val="0"/>
      <w:divBdr>
        <w:top w:val="none" w:sz="0" w:space="0" w:color="auto"/>
        <w:left w:val="none" w:sz="0" w:space="0" w:color="auto"/>
        <w:bottom w:val="none" w:sz="0" w:space="0" w:color="auto"/>
        <w:right w:val="none" w:sz="0" w:space="0" w:color="auto"/>
      </w:divBdr>
    </w:div>
    <w:div w:id="1764301922">
      <w:bodyDiv w:val="1"/>
      <w:marLeft w:val="0"/>
      <w:marRight w:val="0"/>
      <w:marTop w:val="0"/>
      <w:marBottom w:val="0"/>
      <w:divBdr>
        <w:top w:val="none" w:sz="0" w:space="0" w:color="auto"/>
        <w:left w:val="none" w:sz="0" w:space="0" w:color="auto"/>
        <w:bottom w:val="none" w:sz="0" w:space="0" w:color="auto"/>
        <w:right w:val="none" w:sz="0" w:space="0" w:color="auto"/>
      </w:divBdr>
    </w:div>
    <w:div w:id="1775129793">
      <w:bodyDiv w:val="1"/>
      <w:marLeft w:val="0"/>
      <w:marRight w:val="0"/>
      <w:marTop w:val="0"/>
      <w:marBottom w:val="0"/>
      <w:divBdr>
        <w:top w:val="none" w:sz="0" w:space="0" w:color="auto"/>
        <w:left w:val="none" w:sz="0" w:space="0" w:color="auto"/>
        <w:bottom w:val="none" w:sz="0" w:space="0" w:color="auto"/>
        <w:right w:val="none" w:sz="0" w:space="0" w:color="auto"/>
      </w:divBdr>
    </w:div>
    <w:div w:id="1793547827">
      <w:bodyDiv w:val="1"/>
      <w:marLeft w:val="0"/>
      <w:marRight w:val="0"/>
      <w:marTop w:val="0"/>
      <w:marBottom w:val="0"/>
      <w:divBdr>
        <w:top w:val="none" w:sz="0" w:space="0" w:color="auto"/>
        <w:left w:val="none" w:sz="0" w:space="0" w:color="auto"/>
        <w:bottom w:val="none" w:sz="0" w:space="0" w:color="auto"/>
        <w:right w:val="none" w:sz="0" w:space="0" w:color="auto"/>
      </w:divBdr>
    </w:div>
    <w:div w:id="1805586511">
      <w:bodyDiv w:val="1"/>
      <w:marLeft w:val="0"/>
      <w:marRight w:val="0"/>
      <w:marTop w:val="0"/>
      <w:marBottom w:val="0"/>
      <w:divBdr>
        <w:top w:val="none" w:sz="0" w:space="0" w:color="auto"/>
        <w:left w:val="none" w:sz="0" w:space="0" w:color="auto"/>
        <w:bottom w:val="none" w:sz="0" w:space="0" w:color="auto"/>
        <w:right w:val="none" w:sz="0" w:space="0" w:color="auto"/>
      </w:divBdr>
    </w:div>
    <w:div w:id="1824661596">
      <w:bodyDiv w:val="1"/>
      <w:marLeft w:val="0"/>
      <w:marRight w:val="0"/>
      <w:marTop w:val="0"/>
      <w:marBottom w:val="0"/>
      <w:divBdr>
        <w:top w:val="none" w:sz="0" w:space="0" w:color="auto"/>
        <w:left w:val="none" w:sz="0" w:space="0" w:color="auto"/>
        <w:bottom w:val="none" w:sz="0" w:space="0" w:color="auto"/>
        <w:right w:val="none" w:sz="0" w:space="0" w:color="auto"/>
      </w:divBdr>
    </w:div>
    <w:div w:id="1833447047">
      <w:bodyDiv w:val="1"/>
      <w:marLeft w:val="0"/>
      <w:marRight w:val="0"/>
      <w:marTop w:val="0"/>
      <w:marBottom w:val="0"/>
      <w:divBdr>
        <w:top w:val="none" w:sz="0" w:space="0" w:color="auto"/>
        <w:left w:val="none" w:sz="0" w:space="0" w:color="auto"/>
        <w:bottom w:val="none" w:sz="0" w:space="0" w:color="auto"/>
        <w:right w:val="none" w:sz="0" w:space="0" w:color="auto"/>
      </w:divBdr>
      <w:divsChild>
        <w:div w:id="1590886635">
          <w:marLeft w:val="0"/>
          <w:marRight w:val="0"/>
          <w:marTop w:val="0"/>
          <w:marBottom w:val="150"/>
          <w:divBdr>
            <w:top w:val="none" w:sz="0" w:space="0" w:color="auto"/>
            <w:left w:val="none" w:sz="0" w:space="0" w:color="auto"/>
            <w:bottom w:val="none" w:sz="0" w:space="0" w:color="auto"/>
            <w:right w:val="none" w:sz="0" w:space="0" w:color="auto"/>
          </w:divBdr>
        </w:div>
        <w:div w:id="886181040">
          <w:marLeft w:val="0"/>
          <w:marRight w:val="0"/>
          <w:marTop w:val="0"/>
          <w:marBottom w:val="150"/>
          <w:divBdr>
            <w:top w:val="none" w:sz="0" w:space="0" w:color="auto"/>
            <w:left w:val="none" w:sz="0" w:space="0" w:color="auto"/>
            <w:bottom w:val="none" w:sz="0" w:space="0" w:color="auto"/>
            <w:right w:val="none" w:sz="0" w:space="0" w:color="auto"/>
          </w:divBdr>
        </w:div>
        <w:div w:id="1214777538">
          <w:marLeft w:val="0"/>
          <w:marRight w:val="0"/>
          <w:marTop w:val="0"/>
          <w:marBottom w:val="150"/>
          <w:divBdr>
            <w:top w:val="none" w:sz="0" w:space="0" w:color="auto"/>
            <w:left w:val="none" w:sz="0" w:space="0" w:color="auto"/>
            <w:bottom w:val="none" w:sz="0" w:space="0" w:color="auto"/>
            <w:right w:val="none" w:sz="0" w:space="0" w:color="auto"/>
          </w:divBdr>
        </w:div>
        <w:div w:id="383451839">
          <w:marLeft w:val="0"/>
          <w:marRight w:val="0"/>
          <w:marTop w:val="0"/>
          <w:marBottom w:val="150"/>
          <w:divBdr>
            <w:top w:val="none" w:sz="0" w:space="0" w:color="auto"/>
            <w:left w:val="none" w:sz="0" w:space="0" w:color="auto"/>
            <w:bottom w:val="none" w:sz="0" w:space="0" w:color="auto"/>
            <w:right w:val="none" w:sz="0" w:space="0" w:color="auto"/>
          </w:divBdr>
        </w:div>
      </w:divsChild>
    </w:div>
    <w:div w:id="1837063992">
      <w:bodyDiv w:val="1"/>
      <w:marLeft w:val="0"/>
      <w:marRight w:val="0"/>
      <w:marTop w:val="0"/>
      <w:marBottom w:val="0"/>
      <w:divBdr>
        <w:top w:val="none" w:sz="0" w:space="0" w:color="auto"/>
        <w:left w:val="none" w:sz="0" w:space="0" w:color="auto"/>
        <w:bottom w:val="none" w:sz="0" w:space="0" w:color="auto"/>
        <w:right w:val="none" w:sz="0" w:space="0" w:color="auto"/>
      </w:divBdr>
    </w:div>
    <w:div w:id="1913930497">
      <w:bodyDiv w:val="1"/>
      <w:marLeft w:val="0"/>
      <w:marRight w:val="0"/>
      <w:marTop w:val="0"/>
      <w:marBottom w:val="0"/>
      <w:divBdr>
        <w:top w:val="none" w:sz="0" w:space="0" w:color="auto"/>
        <w:left w:val="none" w:sz="0" w:space="0" w:color="auto"/>
        <w:bottom w:val="none" w:sz="0" w:space="0" w:color="auto"/>
        <w:right w:val="none" w:sz="0" w:space="0" w:color="auto"/>
      </w:divBdr>
    </w:div>
    <w:div w:id="1919434794">
      <w:bodyDiv w:val="1"/>
      <w:marLeft w:val="0"/>
      <w:marRight w:val="0"/>
      <w:marTop w:val="0"/>
      <w:marBottom w:val="0"/>
      <w:divBdr>
        <w:top w:val="none" w:sz="0" w:space="0" w:color="auto"/>
        <w:left w:val="none" w:sz="0" w:space="0" w:color="auto"/>
        <w:bottom w:val="none" w:sz="0" w:space="0" w:color="auto"/>
        <w:right w:val="none" w:sz="0" w:space="0" w:color="auto"/>
      </w:divBdr>
    </w:div>
    <w:div w:id="1982420372">
      <w:bodyDiv w:val="1"/>
      <w:marLeft w:val="0"/>
      <w:marRight w:val="0"/>
      <w:marTop w:val="0"/>
      <w:marBottom w:val="0"/>
      <w:divBdr>
        <w:top w:val="none" w:sz="0" w:space="0" w:color="auto"/>
        <w:left w:val="none" w:sz="0" w:space="0" w:color="auto"/>
        <w:bottom w:val="none" w:sz="0" w:space="0" w:color="auto"/>
        <w:right w:val="none" w:sz="0" w:space="0" w:color="auto"/>
      </w:divBdr>
    </w:div>
    <w:div w:id="1986927065">
      <w:bodyDiv w:val="1"/>
      <w:marLeft w:val="0"/>
      <w:marRight w:val="0"/>
      <w:marTop w:val="0"/>
      <w:marBottom w:val="0"/>
      <w:divBdr>
        <w:top w:val="none" w:sz="0" w:space="0" w:color="auto"/>
        <w:left w:val="none" w:sz="0" w:space="0" w:color="auto"/>
        <w:bottom w:val="none" w:sz="0" w:space="0" w:color="auto"/>
        <w:right w:val="none" w:sz="0" w:space="0" w:color="auto"/>
      </w:divBdr>
    </w:div>
    <w:div w:id="2012756758">
      <w:bodyDiv w:val="1"/>
      <w:marLeft w:val="0"/>
      <w:marRight w:val="0"/>
      <w:marTop w:val="0"/>
      <w:marBottom w:val="0"/>
      <w:divBdr>
        <w:top w:val="none" w:sz="0" w:space="0" w:color="auto"/>
        <w:left w:val="none" w:sz="0" w:space="0" w:color="auto"/>
        <w:bottom w:val="none" w:sz="0" w:space="0" w:color="auto"/>
        <w:right w:val="none" w:sz="0" w:space="0" w:color="auto"/>
      </w:divBdr>
    </w:div>
    <w:div w:id="2025596651">
      <w:bodyDiv w:val="1"/>
      <w:marLeft w:val="0"/>
      <w:marRight w:val="0"/>
      <w:marTop w:val="0"/>
      <w:marBottom w:val="0"/>
      <w:divBdr>
        <w:top w:val="none" w:sz="0" w:space="0" w:color="auto"/>
        <w:left w:val="none" w:sz="0" w:space="0" w:color="auto"/>
        <w:bottom w:val="none" w:sz="0" w:space="0" w:color="auto"/>
        <w:right w:val="none" w:sz="0" w:space="0" w:color="auto"/>
      </w:divBdr>
    </w:div>
    <w:div w:id="2034383483">
      <w:bodyDiv w:val="1"/>
      <w:marLeft w:val="0"/>
      <w:marRight w:val="0"/>
      <w:marTop w:val="0"/>
      <w:marBottom w:val="0"/>
      <w:divBdr>
        <w:top w:val="none" w:sz="0" w:space="0" w:color="auto"/>
        <w:left w:val="none" w:sz="0" w:space="0" w:color="auto"/>
        <w:bottom w:val="none" w:sz="0" w:space="0" w:color="auto"/>
        <w:right w:val="none" w:sz="0" w:space="0" w:color="auto"/>
      </w:divBdr>
    </w:div>
    <w:div w:id="2041007993">
      <w:bodyDiv w:val="1"/>
      <w:marLeft w:val="0"/>
      <w:marRight w:val="0"/>
      <w:marTop w:val="0"/>
      <w:marBottom w:val="0"/>
      <w:divBdr>
        <w:top w:val="none" w:sz="0" w:space="0" w:color="auto"/>
        <w:left w:val="none" w:sz="0" w:space="0" w:color="auto"/>
        <w:bottom w:val="none" w:sz="0" w:space="0" w:color="auto"/>
        <w:right w:val="none" w:sz="0" w:space="0" w:color="auto"/>
      </w:divBdr>
    </w:div>
    <w:div w:id="2049838652">
      <w:bodyDiv w:val="1"/>
      <w:marLeft w:val="0"/>
      <w:marRight w:val="0"/>
      <w:marTop w:val="0"/>
      <w:marBottom w:val="0"/>
      <w:divBdr>
        <w:top w:val="none" w:sz="0" w:space="0" w:color="auto"/>
        <w:left w:val="none" w:sz="0" w:space="0" w:color="auto"/>
        <w:bottom w:val="none" w:sz="0" w:space="0" w:color="auto"/>
        <w:right w:val="none" w:sz="0" w:space="0" w:color="auto"/>
      </w:divBdr>
    </w:div>
    <w:div w:id="2072729075">
      <w:bodyDiv w:val="1"/>
      <w:marLeft w:val="0"/>
      <w:marRight w:val="0"/>
      <w:marTop w:val="0"/>
      <w:marBottom w:val="0"/>
      <w:divBdr>
        <w:top w:val="none" w:sz="0" w:space="0" w:color="auto"/>
        <w:left w:val="none" w:sz="0" w:space="0" w:color="auto"/>
        <w:bottom w:val="none" w:sz="0" w:space="0" w:color="auto"/>
        <w:right w:val="none" w:sz="0" w:space="0" w:color="auto"/>
      </w:divBdr>
    </w:div>
    <w:div w:id="2089647965">
      <w:bodyDiv w:val="1"/>
      <w:marLeft w:val="0"/>
      <w:marRight w:val="0"/>
      <w:marTop w:val="0"/>
      <w:marBottom w:val="0"/>
      <w:divBdr>
        <w:top w:val="none" w:sz="0" w:space="0" w:color="auto"/>
        <w:left w:val="none" w:sz="0" w:space="0" w:color="auto"/>
        <w:bottom w:val="none" w:sz="0" w:space="0" w:color="auto"/>
        <w:right w:val="none" w:sz="0" w:space="0" w:color="auto"/>
      </w:divBdr>
    </w:div>
    <w:div w:id="2102947243">
      <w:bodyDiv w:val="1"/>
      <w:marLeft w:val="0"/>
      <w:marRight w:val="0"/>
      <w:marTop w:val="0"/>
      <w:marBottom w:val="0"/>
      <w:divBdr>
        <w:top w:val="none" w:sz="0" w:space="0" w:color="auto"/>
        <w:left w:val="none" w:sz="0" w:space="0" w:color="auto"/>
        <w:bottom w:val="none" w:sz="0" w:space="0" w:color="auto"/>
        <w:right w:val="none" w:sz="0" w:space="0" w:color="auto"/>
      </w:divBdr>
    </w:div>
    <w:div w:id="2108622600">
      <w:bodyDiv w:val="1"/>
      <w:marLeft w:val="0"/>
      <w:marRight w:val="0"/>
      <w:marTop w:val="0"/>
      <w:marBottom w:val="0"/>
      <w:divBdr>
        <w:top w:val="none" w:sz="0" w:space="0" w:color="auto"/>
        <w:left w:val="none" w:sz="0" w:space="0" w:color="auto"/>
        <w:bottom w:val="none" w:sz="0" w:space="0" w:color="auto"/>
        <w:right w:val="none" w:sz="0" w:space="0" w:color="auto"/>
      </w:divBdr>
    </w:div>
    <w:div w:id="2131824914">
      <w:bodyDiv w:val="1"/>
      <w:marLeft w:val="0"/>
      <w:marRight w:val="0"/>
      <w:marTop w:val="0"/>
      <w:marBottom w:val="0"/>
      <w:divBdr>
        <w:top w:val="none" w:sz="0" w:space="0" w:color="auto"/>
        <w:left w:val="none" w:sz="0" w:space="0" w:color="auto"/>
        <w:bottom w:val="none" w:sz="0" w:space="0" w:color="auto"/>
        <w:right w:val="none" w:sz="0" w:space="0" w:color="auto"/>
      </w:divBdr>
    </w:div>
    <w:div w:id="21328955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yperlink" Target="http://highriser.blogspot.com)" TargetMode="External"/><Relationship Id="rId18" Type="http://schemas.openxmlformats.org/officeDocument/2006/relationships/image" Target="media/image5.png"/><Relationship Id="rId26" Type="http://schemas.openxmlformats.org/officeDocument/2006/relationships/hyperlink" Target="http://www5.austlii.edu.au/au/legis/vic/consol_act/paea1987254/s3.html" TargetMode="External"/><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hyperlink" Target="http://www.maggolee.org.au/local-government-areas-view-by-list/port-phillip-city-council" TargetMode="External"/><Relationship Id="rId17" Type="http://schemas.openxmlformats.org/officeDocument/2006/relationships/hyperlink" Target="http://www.historypin.org" TargetMode="External"/><Relationship Id="rId25" Type="http://schemas.openxmlformats.org/officeDocument/2006/relationships/hyperlink" Target="http://www5.austlii.edu.au/au/legis/vic/consol_act/paea1987254/s3.html" TargetMode="External"/><Relationship Id="rId33" Type="http://schemas.openxmlformats.org/officeDocument/2006/relationships/header" Target="header1.xml"/><Relationship Id="rId38"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hyperlink" Target="https://www.theguardian.com" TargetMode="External"/><Relationship Id="rId29" Type="http://schemas.openxmlformats.org/officeDocument/2006/relationships/hyperlink" Target="http://www5.austlii.edu.au/au/legis/vic/consol_act/paea1987254/s3.htm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hyperlink" Target="http://www.historicurbanlandscape.com/" TargetMode="External"/><Relationship Id="rId32" Type="http://schemas.openxmlformats.org/officeDocument/2006/relationships/hyperlink" Target="http://highriser.blogspot.com"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highriser.blogspot.com" TargetMode="External"/><Relationship Id="rId23" Type="http://schemas.openxmlformats.org/officeDocument/2006/relationships/image" Target="media/image9.png"/><Relationship Id="rId28" Type="http://schemas.openxmlformats.org/officeDocument/2006/relationships/hyperlink" Target="http://www5.austlii.edu.au/au/legis/vic/consol_act/paea1987254/s3.html" TargetMode="External"/><Relationship Id="rId36" Type="http://schemas.openxmlformats.org/officeDocument/2006/relationships/footer" Target="footer4.xml"/><Relationship Id="rId10" Type="http://schemas.openxmlformats.org/officeDocument/2006/relationships/footer" Target="footer3.xml"/><Relationship Id="rId19" Type="http://schemas.openxmlformats.org/officeDocument/2006/relationships/image" Target="media/image6.png"/><Relationship Id="rId31" Type="http://schemas.openxmlformats.org/officeDocument/2006/relationships/image" Target="media/image10.JP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jpg"/><Relationship Id="rId22" Type="http://schemas.openxmlformats.org/officeDocument/2006/relationships/image" Target="media/image8.svg"/><Relationship Id="rId27" Type="http://schemas.openxmlformats.org/officeDocument/2006/relationships/hyperlink" Target="http://www5.austlii.edu.au/au/legis/vic/consol_act/paea1987254/s3.html" TargetMode="External"/><Relationship Id="rId30" Type="http://schemas.openxmlformats.org/officeDocument/2006/relationships/hyperlink" Target="https://www.planning.vic.gov.au/schemes-and-amendments/schemes-and-amendments-home" TargetMode="External"/><Relationship Id="rId35" Type="http://schemas.openxmlformats.org/officeDocument/2006/relationships/header" Target="header3.xml"/></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_rels/footnotes.xml.rels><?xml version="1.0" encoding="UTF-8" standalone="yes"?>
<Relationships xmlns="http://schemas.openxmlformats.org/package/2006/relationships"><Relationship Id="rId8" Type="http://schemas.openxmlformats.org/officeDocument/2006/relationships/hyperlink" Target="https://www.historypin.org" TargetMode="External"/><Relationship Id="rId13" Type="http://schemas.openxmlformats.org/officeDocument/2006/relationships/hyperlink" Target="https://heritage.portphillip.vic.gov.au/People_places/Heritage_recognition_program" TargetMode="External"/><Relationship Id="rId18" Type="http://schemas.openxmlformats.org/officeDocument/2006/relationships/hyperlink" Target="http://www.hulballarat.org.au/cb_pages/ballarat_heritage_plan.php" TargetMode="External"/><Relationship Id="rId3" Type="http://schemas.openxmlformats.org/officeDocument/2006/relationships/hyperlink" Target="https://www.planmelbourne.vic.gov.au/the-plan" TargetMode="External"/><Relationship Id="rId7" Type="http://schemas.openxmlformats.org/officeDocument/2006/relationships/hyperlink" Target="http://www.citizenheritage.com/pastport-app/" TargetMode="External"/><Relationship Id="rId12" Type="http://schemas.openxmlformats.org/officeDocument/2006/relationships/hyperlink" Target="http://www.portphillip.vic.gov.au/demographics.htm" TargetMode="External"/><Relationship Id="rId17" Type="http://schemas.openxmlformats.org/officeDocument/2006/relationships/hyperlink" Target="http://civicus.org/images/ER%20cgd_brief.pdf" TargetMode="External"/><Relationship Id="rId2" Type="http://schemas.openxmlformats.org/officeDocument/2006/relationships/hyperlink" Target="http://www.portphillip.vic.gov.au/planning-scheme-review.htm" TargetMode="External"/><Relationship Id="rId16" Type="http://schemas.openxmlformats.org/officeDocument/2006/relationships/hyperlink" Target="http://highriser.blogspot.com)" TargetMode="External"/><Relationship Id="rId1" Type="http://schemas.openxmlformats.org/officeDocument/2006/relationships/hyperlink" Target="http://stkildahistory.org.au/history/foreshore/item/318-brookes-jetty-talk" TargetMode="External"/><Relationship Id="rId6" Type="http://schemas.openxmlformats.org/officeDocument/2006/relationships/hyperlink" Target="http://highriser.blogspot.com)" TargetMode="External"/><Relationship Id="rId11" Type="http://schemas.openxmlformats.org/officeDocument/2006/relationships/hyperlink" Target="https://whc.unesco.org/en/activities/727" TargetMode="External"/><Relationship Id="rId5" Type="http://schemas.openxmlformats.org/officeDocument/2006/relationships/hyperlink" Target="http://www.citizenheritage.com/the-project" TargetMode="External"/><Relationship Id="rId15" Type="http://schemas.openxmlformats.org/officeDocument/2006/relationships/hyperlink" Target="http://stkildahistory.org.au/history/foreshore/item/318-brookes-jetty-talk" TargetMode="External"/><Relationship Id="rId10" Type="http://schemas.openxmlformats.org/officeDocument/2006/relationships/hyperlink" Target="http://www.legislation.gov.uk" TargetMode="External"/><Relationship Id="rId4" Type="http://schemas.openxmlformats.org/officeDocument/2006/relationships/hyperlink" Target="https://haveyoursay.portphillip.vic.gov.au/past-consultations" TargetMode="External"/><Relationship Id="rId9" Type="http://schemas.openxmlformats.org/officeDocument/2006/relationships/hyperlink" Target="http://www.stkildajazztour.com.au" TargetMode="External"/><Relationship Id="rId14" Type="http://schemas.openxmlformats.org/officeDocument/2006/relationships/hyperlink" Target="http://stkildahistory.org.au/history/foreshore/item/318-brookes-jetty-talk"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115F5175DA1A49B2BE25FDD2F468FC3F"/>
        <w:category>
          <w:name w:val="General"/>
          <w:gallery w:val="placeholder"/>
        </w:category>
        <w:types>
          <w:type w:val="bbPlcHdr"/>
        </w:types>
        <w:behaviors>
          <w:behavior w:val="content"/>
        </w:behaviors>
        <w:guid w:val="{850B75EC-BA42-42D9-AE38-349543756922}"/>
      </w:docPartPr>
      <w:docPartBody>
        <w:p w:rsidR="00D93ACB" w:rsidRDefault="00D93ACB">
          <w:pPr>
            <w:pStyle w:val="115F5175DA1A49B2BE25FDD2F468FC3F"/>
          </w:pPr>
          <w:r>
            <w:rPr>
              <w:rStyle w:val="PlaceholderText"/>
              <w:color w:val="808080"/>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radeGothic Light">
    <w:altName w:val="Malgun Gothic"/>
    <w:charset w:val="00"/>
    <w:family w:val="auto"/>
    <w:pitch w:val="variable"/>
    <w:sig w:usb0="80000027"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00004FF"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comments="0"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3ACB"/>
    <w:rsid w:val="00000871"/>
    <w:rsid w:val="000746CE"/>
    <w:rsid w:val="00076E47"/>
    <w:rsid w:val="000776F8"/>
    <w:rsid w:val="000808AD"/>
    <w:rsid w:val="000D589B"/>
    <w:rsid w:val="001225C0"/>
    <w:rsid w:val="001B7316"/>
    <w:rsid w:val="001C315C"/>
    <w:rsid w:val="001F1892"/>
    <w:rsid w:val="00232FBF"/>
    <w:rsid w:val="00244ADF"/>
    <w:rsid w:val="002C297F"/>
    <w:rsid w:val="002E74BA"/>
    <w:rsid w:val="003675BB"/>
    <w:rsid w:val="003D2AA1"/>
    <w:rsid w:val="00436E3A"/>
    <w:rsid w:val="00444C62"/>
    <w:rsid w:val="00462476"/>
    <w:rsid w:val="00527E5D"/>
    <w:rsid w:val="00561033"/>
    <w:rsid w:val="006437F6"/>
    <w:rsid w:val="006A3A93"/>
    <w:rsid w:val="00706473"/>
    <w:rsid w:val="00711F6B"/>
    <w:rsid w:val="00724E33"/>
    <w:rsid w:val="0076166F"/>
    <w:rsid w:val="007B7D2C"/>
    <w:rsid w:val="007E3BCC"/>
    <w:rsid w:val="0082239A"/>
    <w:rsid w:val="00836D9B"/>
    <w:rsid w:val="00864500"/>
    <w:rsid w:val="008C5BAF"/>
    <w:rsid w:val="008F12D0"/>
    <w:rsid w:val="008F5C11"/>
    <w:rsid w:val="0095433D"/>
    <w:rsid w:val="0098455F"/>
    <w:rsid w:val="009E3277"/>
    <w:rsid w:val="00A16B9A"/>
    <w:rsid w:val="00A53A5D"/>
    <w:rsid w:val="00AA61DB"/>
    <w:rsid w:val="00AB1D2E"/>
    <w:rsid w:val="00BE1830"/>
    <w:rsid w:val="00C53835"/>
    <w:rsid w:val="00CD5B5C"/>
    <w:rsid w:val="00CF4460"/>
    <w:rsid w:val="00D55C51"/>
    <w:rsid w:val="00D92284"/>
    <w:rsid w:val="00D93ACB"/>
    <w:rsid w:val="00E100DF"/>
    <w:rsid w:val="00F05502"/>
    <w:rsid w:val="00F17468"/>
    <w:rsid w:val="00F53B09"/>
    <w:rsid w:val="00F806D3"/>
    <w:rsid w:val="00F80758"/>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style>
  <w:style w:type="paragraph" w:customStyle="1" w:styleId="115F5175DA1A49B2BE25FDD2F468FC3F">
    <w:name w:val="115F5175DA1A49B2BE25FDD2F468FC3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ln w="190500">
          <a:solidFill>
            <a:srgbClr val="002E6E"/>
          </a:solidFill>
        </a:ln>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A14ECF-EB7D-4312-A6FD-D5EE360162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104</TotalTime>
  <Pages>55</Pages>
  <Words>20229</Words>
  <Characters>119966</Characters>
  <Application>Microsoft Office Word</Application>
  <DocSecurity>0</DocSecurity>
  <Lines>999</Lines>
  <Paragraphs>279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139916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Adam Mornement</dc:creator>
  <cp:lastModifiedBy>Ben Sylvan</cp:lastModifiedBy>
  <cp:revision>11</cp:revision>
  <cp:lastPrinted>2018-08-23T01:56:00Z</cp:lastPrinted>
  <dcterms:created xsi:type="dcterms:W3CDTF">2018-08-23T01:55:00Z</dcterms:created>
  <dcterms:modified xsi:type="dcterms:W3CDTF">2018-08-28T02:23:00Z</dcterms:modified>
</cp:coreProperties>
</file>