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.02pt;width:595.1pt;height:359.85pt;mso-position-horizontal-relative:page;mso-position-vertical-relative:page;z-index:-15805952" coordorigin="0,0" coordsize="11902,7197">
            <v:shape style="position:absolute;left:0;top:0;width:11902;height:1981" type="#_x0000_t75" stroked="false">
              <v:imagedata r:id="rId5" o:title=""/>
            </v:shape>
            <v:shape style="position:absolute;left:10;top:7;width:11861;height:1953" type="#_x0000_t75" stroked="false">
              <v:imagedata r:id="rId6" o:title=""/>
            </v:shape>
            <v:shape style="position:absolute;left:1140;top:1350;width:1492;height:208" type="#_x0000_t75" stroked="false">
              <v:imagedata r:id="rId7" o:title=""/>
            </v:shape>
            <v:shape style="position:absolute;left:2660;top:1350;width:1580;height:205" type="#_x0000_t75" stroked="false">
              <v:imagedata r:id="rId8" o:title=""/>
            </v:shape>
            <v:rect style="position:absolute;left:11854;top:5887;width:48;height:1310" filled="true" fillcolor="#e1e2e3" stroked="false">
              <v:fill type="solid"/>
            </v:rect>
            <v:rect style="position:absolute;left:17;top:1940;width:11837;height:5255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5"/>
        </w:rPr>
      </w:pPr>
    </w:p>
    <w:p>
      <w:pPr>
        <w:pStyle w:val="BodyText"/>
        <w:tabs>
          <w:tab w:pos="1673" w:val="left" w:leader="none"/>
        </w:tabs>
        <w:spacing w:before="94"/>
        <w:ind w:left="109" w:firstLine="0"/>
      </w:pPr>
      <w:r>
        <w:rPr>
          <w:color w:val="34BFC6"/>
        </w:rPr>
        <w:t>C</w:t>
      </w:r>
      <w:r>
        <w:rPr>
          <w:color w:val="34BFC6"/>
          <w:spacing w:val="47"/>
        </w:rPr>
        <w:t> </w:t>
      </w:r>
      <w:r>
        <w:rPr>
          <w:color w:val="34BFC6"/>
        </w:rPr>
        <w:t>y</w:t>
        <w:tab/>
      </w:r>
      <w:r>
        <w:rPr>
          <w:color w:val="3CC0C5"/>
        </w:rPr>
        <w:t>ip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Title"/>
      </w:pPr>
      <w:r>
        <w:rPr>
          <w:color w:val="4B8594"/>
        </w:rPr>
        <w:t>Young people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spacing w:line="240" w:lineRule="auto" w:before="242"/>
        <w:ind w:left="109" w:right="283" w:firstLine="0"/>
        <w:jc w:val="left"/>
        <w:rPr>
          <w:sz w:val="28"/>
        </w:rPr>
      </w:pPr>
      <w:r>
        <w:rPr>
          <w:color w:val="4C4D4F"/>
          <w:sz w:val="28"/>
        </w:rPr>
        <w:t>Adolescence is a time of significant physical, cognitive and emotional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development. Young people are growing up surrounded by technology,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stagnating wages, rising underemployment, increasing exposure to online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content, increasing mental health pressures and increasing concerns about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climate change and their futures overall. They also have more opportunities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for communication and agency through social media, youth participation and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co-design, and are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adapting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to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meet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</w:t>
      </w:r>
      <w:r>
        <w:rPr>
          <w:color w:val="4C4D4F"/>
          <w:spacing w:val="-6"/>
          <w:sz w:val="28"/>
        </w:rPr>
        <w:t> </w:t>
      </w:r>
      <w:r>
        <w:rPr>
          <w:color w:val="4C4D4F"/>
          <w:sz w:val="28"/>
        </w:rPr>
        <w:t>changing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employment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market.</w:t>
      </w:r>
    </w:p>
    <w:p>
      <w:pPr>
        <w:pStyle w:val="Heading1"/>
        <w:ind w:right="218"/>
      </w:pPr>
      <w:r>
        <w:rPr>
          <w:color w:val="4C4D4F"/>
          <w:spacing w:val="-1"/>
        </w:rPr>
        <w:t>Transitioning</w:t>
      </w:r>
      <w:r>
        <w:rPr>
          <w:color w:val="4C4D4F"/>
          <w:spacing w:val="-2"/>
        </w:rPr>
        <w:t> </w:t>
      </w:r>
      <w:r>
        <w:rPr>
          <w:color w:val="4C4D4F"/>
          <w:spacing w:val="-1"/>
        </w:rPr>
        <w:t>from</w:t>
      </w:r>
      <w:r>
        <w:rPr>
          <w:color w:val="4C4D4F"/>
          <w:spacing w:val="-2"/>
        </w:rPr>
        <w:t> </w:t>
      </w:r>
      <w:r>
        <w:rPr>
          <w:color w:val="4C4D4F"/>
          <w:spacing w:val="-1"/>
        </w:rPr>
        <w:t>adolescence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adulthood</w:t>
      </w:r>
      <w:r>
        <w:rPr>
          <w:color w:val="4C4D4F"/>
          <w:spacing w:val="-51"/>
        </w:rPr>
        <w:t> </w:t>
      </w:r>
      <w:r>
        <w:rPr>
          <w:color w:val="4C4D4F"/>
        </w:rPr>
        <w:t>is</w:t>
      </w:r>
      <w:r>
        <w:rPr>
          <w:color w:val="4C4D4F"/>
          <w:spacing w:val="1"/>
        </w:rPr>
        <w:t> </w:t>
      </w:r>
      <w:r>
        <w:rPr>
          <w:color w:val="4C4D4F"/>
        </w:rPr>
        <w:t>becoming</w:t>
      </w:r>
      <w:r>
        <w:rPr>
          <w:color w:val="4C4D4F"/>
          <w:spacing w:val="1"/>
        </w:rPr>
        <w:t> </w:t>
      </w:r>
      <w:r>
        <w:rPr>
          <w:color w:val="4C4D4F"/>
        </w:rPr>
        <w:t>increasing</w:t>
      </w:r>
      <w:r>
        <w:rPr>
          <w:color w:val="4C4D4F"/>
          <w:spacing w:val="-1"/>
        </w:rPr>
        <w:t> </w:t>
      </w:r>
      <w:r>
        <w:rPr>
          <w:color w:val="4C4D4F"/>
        </w:rPr>
        <w:t>complex</w:t>
      </w:r>
      <w:r>
        <w:rPr>
          <w:color w:val="4C4D4F"/>
          <w:spacing w:val="-75"/>
        </w:rPr>
        <w:t> </w:t>
      </w:r>
      <w:r>
        <w:rPr>
          <w:color w:val="4C4D4F"/>
        </w:rPr>
        <w:t>with family, peers, community, the legal system and job market playing roles</w:t>
      </w:r>
      <w:r>
        <w:rPr>
          <w:color w:val="4C4D4F"/>
          <w:spacing w:val="1"/>
        </w:rPr>
        <w:t> </w:t>
      </w:r>
      <w:r>
        <w:rPr>
          <w:color w:val="4C4D4F"/>
        </w:rPr>
        <w:t>in shaping</w:t>
      </w:r>
      <w:r>
        <w:rPr>
          <w:color w:val="4C4D4F"/>
          <w:spacing w:val="-2"/>
        </w:rPr>
        <w:t> </w:t>
      </w:r>
      <w:r>
        <w:rPr>
          <w:color w:val="4C4D4F"/>
        </w:rPr>
        <w:t>this transition.</w:t>
      </w:r>
    </w:p>
    <w:p>
      <w:pPr>
        <w:pStyle w:val="BodyText"/>
        <w:ind w:left="0" w:firstLine="0"/>
        <w:rPr>
          <w:sz w:val="28"/>
        </w:rPr>
      </w:pPr>
    </w:p>
    <w:p>
      <w:pPr>
        <w:spacing w:before="0"/>
        <w:ind w:left="109" w:right="0" w:firstLine="0"/>
        <w:jc w:val="left"/>
        <w:rPr>
          <w:sz w:val="28"/>
        </w:rPr>
      </w:pPr>
      <w:r>
        <w:rPr>
          <w:color w:val="44687A"/>
          <w:sz w:val="28"/>
        </w:rPr>
        <w:t>Who</w:t>
      </w:r>
      <w:r>
        <w:rPr>
          <w:color w:val="44687A"/>
          <w:spacing w:val="-3"/>
          <w:sz w:val="28"/>
        </w:rPr>
        <w:t> </w:t>
      </w:r>
      <w:r>
        <w:rPr>
          <w:color w:val="44687A"/>
          <w:sz w:val="28"/>
        </w:rPr>
        <w:t>lives</w:t>
      </w:r>
      <w:r>
        <w:rPr>
          <w:color w:val="44687A"/>
          <w:spacing w:val="1"/>
          <w:sz w:val="28"/>
        </w:rPr>
        <w:t> </w:t>
      </w:r>
      <w:r>
        <w:rPr>
          <w:color w:val="44687A"/>
          <w:sz w:val="28"/>
        </w:rPr>
        <w:t>in</w:t>
      </w:r>
      <w:r>
        <w:rPr>
          <w:color w:val="44687A"/>
          <w:spacing w:val="-2"/>
          <w:sz w:val="28"/>
        </w:rPr>
        <w:t> </w:t>
      </w:r>
      <w:r>
        <w:rPr>
          <w:color w:val="44687A"/>
          <w:sz w:val="28"/>
        </w:rPr>
        <w:t>our</w:t>
      </w:r>
      <w:r>
        <w:rPr>
          <w:color w:val="44687A"/>
          <w:spacing w:val="-1"/>
          <w:sz w:val="28"/>
        </w:rPr>
        <w:t> </w:t>
      </w:r>
      <w:r>
        <w:rPr>
          <w:color w:val="44687A"/>
          <w:sz w:val="28"/>
        </w:rPr>
        <w:t>municipality?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246" w:after="0"/>
        <w:ind w:left="829" w:right="120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 2016 young people (aged 12 to 25) comprised 13.1 per cent of the Port Phillip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population,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which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lower </w:t>
      </w:r>
      <w:r>
        <w:rPr>
          <w:color w:val="4C4D4F"/>
          <w:sz w:val="22"/>
        </w:rPr>
        <w:t>than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 average 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18.3 per</w:t>
      </w:r>
      <w:r>
        <w:rPr>
          <w:color w:val="4C4D4F"/>
          <w:spacing w:val="-24"/>
          <w:sz w:val="22"/>
        </w:rPr>
        <w:t> </w:t>
      </w:r>
      <w:r>
        <w:rPr>
          <w:color w:val="4C4D4F"/>
          <w:sz w:val="22"/>
        </w:rPr>
        <w:t>cent.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19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While City of Port Phillip had a lower proportion of young people aged 12 to 25 years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compared to the Greater Melbourne average, there was significant variation within the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Council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area.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Proportions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ranged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from a low of 10.2 per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 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high</w:t>
      </w:r>
      <w:r>
        <w:rPr>
          <w:color w:val="4C4D4F"/>
          <w:spacing w:val="-18"/>
          <w:sz w:val="22"/>
        </w:rPr>
        <w:t> </w:t>
      </w:r>
      <w:r>
        <w:rPr>
          <w:color w:val="4C4D4F"/>
          <w:sz w:val="22"/>
        </w:rPr>
        <w:t>of</w:t>
      </w:r>
    </w:p>
    <w:p>
      <w:pPr>
        <w:pStyle w:val="BodyText"/>
        <w:spacing w:line="288" w:lineRule="auto" w:before="5"/>
        <w:ind w:right="721" w:firstLine="0"/>
      </w:pPr>
      <w:r>
        <w:rPr>
          <w:color w:val="4C4D4F"/>
        </w:rPr>
        <w:t>17.8 per cent in Ripponlea. The three suburbs with the highest child proportions were</w:t>
      </w:r>
      <w:r>
        <w:rPr>
          <w:color w:val="4C4D4F"/>
          <w:spacing w:val="-59"/>
        </w:rPr>
        <w:t> </w:t>
      </w:r>
      <w:r>
        <w:rPr>
          <w:color w:val="4C4D4F"/>
        </w:rPr>
        <w:t>Ripponlea, St</w:t>
      </w:r>
      <w:r>
        <w:rPr>
          <w:color w:val="4C4D4F"/>
          <w:spacing w:val="1"/>
        </w:rPr>
        <w:t> </w:t>
      </w:r>
      <w:r>
        <w:rPr>
          <w:color w:val="4C4D4F"/>
        </w:rPr>
        <w:t>Kilda</w:t>
      </w:r>
      <w:r>
        <w:rPr>
          <w:color w:val="4C4D4F"/>
          <w:spacing w:val="-1"/>
        </w:rPr>
        <w:t> </w:t>
      </w:r>
      <w:r>
        <w:rPr>
          <w:color w:val="4C4D4F"/>
        </w:rPr>
        <w:t>Road</w:t>
      </w:r>
      <w:r>
        <w:rPr>
          <w:color w:val="4C4D4F"/>
          <w:spacing w:val="-1"/>
        </w:rPr>
        <w:t> </w:t>
      </w:r>
      <w:r>
        <w:rPr>
          <w:color w:val="4C4D4F"/>
        </w:rPr>
        <w:t>(15.7</w:t>
      </w:r>
      <w:r>
        <w:rPr>
          <w:color w:val="4C4D4F"/>
          <w:spacing w:val="-1"/>
        </w:rPr>
        <w:t> </w:t>
      </w:r>
      <w:r>
        <w:rPr>
          <w:color w:val="4C4D4F"/>
        </w:rPr>
        <w:t>per</w:t>
      </w:r>
      <w:r>
        <w:rPr>
          <w:color w:val="4C4D4F"/>
          <w:spacing w:val="1"/>
        </w:rPr>
        <w:t> </w:t>
      </w:r>
      <w:r>
        <w:rPr>
          <w:color w:val="4C4D4F"/>
        </w:rPr>
        <w:t>cent)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Balaclava</w:t>
      </w:r>
      <w:r>
        <w:rPr>
          <w:color w:val="4C4D4F"/>
          <w:spacing w:val="-1"/>
        </w:rPr>
        <w:t> </w:t>
      </w:r>
      <w:r>
        <w:rPr>
          <w:color w:val="4C4D4F"/>
        </w:rPr>
        <w:t>(15.5 per cent).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20" w:after="0"/>
        <w:ind w:left="829" w:right="45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largest forecasted growth is in the young adult population (18 to 25 years old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anticipated to increase from 8.3 per cent of the residential population to 10.1 per cent by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2026).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26" w:after="0"/>
        <w:ind w:left="829" w:right="12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Approximately 27 per cent of young people living in Port Phillip were born overseas (this 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consistent with the proportion for Greater Melbourne). The greatest proportion of residents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born overseas were born in China (4.2 per cent), slightly less than in Greater Melbourne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(5.7 per cent). Port Phillip is home to a higher proportion of young people born in the United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Kingdom (4.1 per cent) and New Zealand (3.1 per cent) when compared to Greater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(1.4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 cent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1.8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 cent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respectively).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39" w:after="0"/>
        <w:ind w:left="829" w:right="17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 significant proportion of 18 to 25 year olds in Port Phillip were living independently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2016, either in group households (24.7 per cent), single-person households (10.9 per cent)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or couples without children (19.8 per cent). The trend toward independent living was higher</w:t>
      </w:r>
      <w:r>
        <w:rPr>
          <w:color w:val="4C4D4F"/>
          <w:spacing w:val="-60"/>
          <w:sz w:val="22"/>
        </w:rPr>
        <w:t> </w:t>
      </w:r>
      <w:r>
        <w:rPr>
          <w:color w:val="4C4D4F"/>
          <w:spacing w:val="-1"/>
          <w:sz w:val="22"/>
        </w:rPr>
        <w:t>than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for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Greater Melbourne,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where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14.6</w:t>
      </w:r>
      <w:r>
        <w:rPr>
          <w:color w:val="4C4D4F"/>
          <w:sz w:val="22"/>
        </w:rPr>
        <w:t> per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lived in share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households,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5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 cent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in</w:t>
      </w:r>
    </w:p>
    <w:p>
      <w:pPr>
        <w:spacing w:after="0" w:line="283" w:lineRule="auto"/>
        <w:jc w:val="left"/>
        <w:rPr>
          <w:rFonts w:ascii="Symbol" w:hAnsi="Symbol"/>
          <w:sz w:val="22"/>
        </w:rPr>
        <w:sectPr>
          <w:type w:val="continuous"/>
          <w:pgSz w:w="11910" w:h="16840"/>
          <w:pgMar w:top="0" w:bottom="280" w:left="1020" w:right="1040"/>
        </w:sectPr>
      </w:pPr>
    </w:p>
    <w:p>
      <w:pPr>
        <w:pStyle w:val="BodyText"/>
        <w:spacing w:before="145"/>
        <w:ind w:firstLine="0"/>
      </w:pPr>
      <w:r>
        <w:rPr>
          <w:color w:val="4C4D4F"/>
        </w:rPr>
        <w:t>single-person</w:t>
      </w:r>
      <w:r>
        <w:rPr>
          <w:color w:val="4C4D4F"/>
          <w:spacing w:val="-3"/>
        </w:rPr>
        <w:t> </w:t>
      </w:r>
      <w:r>
        <w:rPr>
          <w:color w:val="4C4D4F"/>
        </w:rPr>
        <w:t>households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11.1</w:t>
      </w:r>
      <w:r>
        <w:rPr>
          <w:color w:val="4C4D4F"/>
          <w:spacing w:val="-2"/>
        </w:rPr>
        <w:t> </w:t>
      </w:r>
      <w:r>
        <w:rPr>
          <w:color w:val="4C4D4F"/>
        </w:rPr>
        <w:t>per</w:t>
      </w:r>
      <w:r>
        <w:rPr>
          <w:color w:val="4C4D4F"/>
          <w:spacing w:val="-4"/>
        </w:rPr>
        <w:t> </w:t>
      </w:r>
      <w:r>
        <w:rPr>
          <w:color w:val="4C4D4F"/>
        </w:rPr>
        <w:t>cent</w:t>
      </w:r>
      <w:r>
        <w:rPr>
          <w:color w:val="4C4D4F"/>
          <w:spacing w:val="-2"/>
        </w:rPr>
        <w:t> </w:t>
      </w:r>
      <w:r>
        <w:rPr>
          <w:color w:val="4C4D4F"/>
        </w:rPr>
        <w:t>as</w:t>
      </w:r>
      <w:r>
        <w:rPr>
          <w:color w:val="4C4D4F"/>
          <w:spacing w:val="-4"/>
        </w:rPr>
        <w:t> </w:t>
      </w:r>
      <w:r>
        <w:rPr>
          <w:color w:val="4C4D4F"/>
        </w:rPr>
        <w:t>couples</w:t>
      </w:r>
      <w:r>
        <w:rPr>
          <w:color w:val="4C4D4F"/>
          <w:spacing w:val="-3"/>
        </w:rPr>
        <w:t> </w:t>
      </w:r>
      <w:r>
        <w:rPr>
          <w:color w:val="4C4D4F"/>
        </w:rPr>
        <w:t>without</w:t>
      </w:r>
      <w:r>
        <w:rPr>
          <w:color w:val="4C4D4F"/>
          <w:spacing w:val="-3"/>
        </w:rPr>
        <w:t> </w:t>
      </w:r>
      <w:r>
        <w:rPr>
          <w:color w:val="4C4D4F"/>
        </w:rPr>
        <w:t>children.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95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young</w:t>
      </w:r>
      <w:r>
        <w:rPr>
          <w:color w:val="44687A"/>
          <w:spacing w:val="-3"/>
        </w:rPr>
        <w:t> </w:t>
      </w:r>
      <w:r>
        <w:rPr>
          <w:color w:val="44687A"/>
        </w:rPr>
        <w:t>people in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municipality tracking?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43" w:after="0"/>
        <w:ind w:left="829" w:right="23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 2016, 89.7 per cent of young people aged 15 to 25 were employed (compared with 85.1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per cent in Greater Melbourne), with 46 per cent employed full-time and 42.2 per cent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employed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part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time.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This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was slightly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less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 2011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rate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91.6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cent.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6" w:after="0"/>
        <w:ind w:left="829" w:right="10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 2016, 10.3 per cent of City of Port Phillip's labour force aged 15 to 24 years were classed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unemployed,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14.9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 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Melbourne.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29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82.8 per cent of Year 12 or equivalent completers took part in further education or training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 Victorian average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75.2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cent.</w:t>
      </w:r>
    </w:p>
    <w:p>
      <w:pPr>
        <w:pStyle w:val="BodyText"/>
        <w:spacing w:before="129"/>
        <w:ind w:left="109" w:right="218" w:firstLine="0"/>
      </w:pPr>
      <w:r>
        <w:rPr>
          <w:color w:val="4C4D4F"/>
        </w:rPr>
        <w:t>Young people attending secondary schools (12 to 18 years) in the City of Port Phillip reported in a</w:t>
      </w:r>
      <w:r>
        <w:rPr>
          <w:color w:val="4C4D4F"/>
          <w:spacing w:val="-59"/>
        </w:rPr>
        <w:t> </w:t>
      </w:r>
      <w:r>
        <w:rPr>
          <w:color w:val="4C4D4F"/>
        </w:rPr>
        <w:t>2019</w:t>
      </w:r>
      <w:r>
        <w:rPr>
          <w:color w:val="4C4D4F"/>
          <w:spacing w:val="-1"/>
        </w:rPr>
        <w:t> </w:t>
      </w:r>
      <w:r>
        <w:rPr>
          <w:color w:val="4C4D4F"/>
        </w:rPr>
        <w:t>resilience survey</w:t>
      </w:r>
      <w:r>
        <w:rPr>
          <w:color w:val="4C4D4F"/>
          <w:spacing w:val="-3"/>
        </w:rPr>
        <w:t> </w:t>
      </w:r>
      <w:r>
        <w:rPr>
          <w:color w:val="4C4D4F"/>
        </w:rPr>
        <w:t>(Resilient</w:t>
      </w:r>
      <w:r>
        <w:rPr>
          <w:color w:val="4C4D4F"/>
          <w:spacing w:val="2"/>
        </w:rPr>
        <w:t> </w:t>
      </w:r>
      <w:r>
        <w:rPr>
          <w:color w:val="4C4D4F"/>
        </w:rPr>
        <w:t>Youth Australia,</w:t>
      </w:r>
      <w:r>
        <w:rPr>
          <w:color w:val="4C4D4F"/>
          <w:spacing w:val="1"/>
        </w:rPr>
        <w:t> </w:t>
      </w:r>
      <w:r>
        <w:rPr>
          <w:color w:val="4C4D4F"/>
        </w:rPr>
        <w:t>2019)</w:t>
      </w:r>
      <w:r>
        <w:rPr>
          <w:color w:val="4C4D4F"/>
          <w:spacing w:val="-1"/>
        </w:rPr>
        <w:t> </w:t>
      </w:r>
      <w:r>
        <w:rPr>
          <w:color w:val="4C4D4F"/>
        </w:rPr>
        <w:t>that: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90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felt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had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love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support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family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336" w:lineRule="auto" w:before="119" w:after="0"/>
        <w:ind w:left="109" w:right="3095" w:firstLine="359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91 per cent displayed strong social skills and positive values.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However,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reported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some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key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challenges: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40" w:lineRule="auto" w:before="20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48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did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not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feel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talk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about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things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that upset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them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14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52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reported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having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trouble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sleeping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336" w:lineRule="auto" w:before="119" w:after="0"/>
        <w:ind w:left="110" w:right="209" w:firstLine="359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45 per cent reported being self-critical and 43 per cent reported spending more time alone.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concerns: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20" w:after="0"/>
        <w:ind w:left="830" w:right="24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Young people report mental health as a key concern. This is consistent with 26 per cent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young Australians experiencing a mental illness every year, one in eight young Victorians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reporting feeling lonely and one in four unable to find social support when they need it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(Department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28" w:after="0"/>
        <w:ind w:left="830" w:right="76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Young people reported a wish to “make our environment healthier” and for “action 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climate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change”.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Heading1"/>
        <w:spacing w:before="1"/>
      </w:pPr>
      <w:r>
        <w:rPr>
          <w:color w:val="44687A"/>
        </w:rPr>
        <w:t>How do</w:t>
      </w:r>
      <w:r>
        <w:rPr>
          <w:color w:val="44687A"/>
          <w:spacing w:val="-3"/>
        </w:rPr>
        <w:t> </w:t>
      </w:r>
      <w:r>
        <w:rPr>
          <w:color w:val="44687A"/>
        </w:rPr>
        <w:t>outcomes</w:t>
      </w:r>
      <w:r>
        <w:rPr>
          <w:color w:val="44687A"/>
          <w:spacing w:val="-4"/>
        </w:rPr>
        <w:t> </w:t>
      </w:r>
      <w:r>
        <w:rPr>
          <w:color w:val="44687A"/>
        </w:rPr>
        <w:t>vary</w:t>
      </w:r>
      <w:r>
        <w:rPr>
          <w:color w:val="44687A"/>
          <w:spacing w:val="-1"/>
        </w:rPr>
        <w:t> </w:t>
      </w:r>
      <w:r>
        <w:rPr>
          <w:color w:val="44687A"/>
        </w:rPr>
        <w:t>for</w:t>
      </w:r>
      <w:r>
        <w:rPr>
          <w:color w:val="44687A"/>
          <w:spacing w:val="-2"/>
        </w:rPr>
        <w:t> </w:t>
      </w:r>
      <w:r>
        <w:rPr>
          <w:color w:val="44687A"/>
        </w:rPr>
        <w:t>different</w:t>
      </w:r>
      <w:r>
        <w:rPr>
          <w:color w:val="44687A"/>
          <w:spacing w:val="-1"/>
        </w:rPr>
        <w:t> </w:t>
      </w:r>
      <w:r>
        <w:rPr>
          <w:color w:val="44687A"/>
        </w:rPr>
        <w:t>population</w:t>
      </w:r>
      <w:r>
        <w:rPr>
          <w:color w:val="44687A"/>
          <w:spacing w:val="-2"/>
        </w:rPr>
        <w:t> </w:t>
      </w:r>
      <w:r>
        <w:rPr>
          <w:color w:val="44687A"/>
        </w:rPr>
        <w:t>groups?</w:t>
      </w:r>
    </w:p>
    <w:p>
      <w:pPr>
        <w:pStyle w:val="BodyText"/>
        <w:spacing w:line="288" w:lineRule="auto" w:before="243"/>
        <w:ind w:left="109" w:right="500" w:firstLine="0"/>
      </w:pPr>
      <w:r>
        <w:rPr>
          <w:color w:val="4C4D4F"/>
        </w:rPr>
        <w:t>While it is hard to pinpoint sub-population effects among young people, there is significant</w:t>
      </w:r>
      <w:r>
        <w:rPr>
          <w:color w:val="4C4D4F"/>
          <w:spacing w:val="1"/>
        </w:rPr>
        <w:t> </w:t>
      </w:r>
      <w:r>
        <w:rPr>
          <w:color w:val="4C4D4F"/>
        </w:rPr>
        <w:t>evidence that some population groups face a greater risk of complex and interconnected social</w:t>
      </w:r>
      <w:r>
        <w:rPr>
          <w:color w:val="4C4D4F"/>
          <w:spacing w:val="-59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health concerns.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36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Compared with males, </w:t>
      </w:r>
      <w:r>
        <w:rPr>
          <w:b/>
          <w:color w:val="4C4D4F"/>
          <w:sz w:val="22"/>
        </w:rPr>
        <w:t>female </w:t>
      </w:r>
      <w:r>
        <w:rPr>
          <w:color w:val="4C4D4F"/>
          <w:sz w:val="22"/>
        </w:rPr>
        <w:t>secondary school students participating in the 2019 Youth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Resilience Survey reported lower resilience. They struggled more with getting sufficient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sleep, feeling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tired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keeping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physically active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(Resilient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Youth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Australia,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2019).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531" w:hanging="361"/>
        <w:jc w:val="left"/>
        <w:rPr>
          <w:rFonts w:ascii="Symbol" w:hAnsi="Symbol"/>
          <w:color w:val="4C4D4F"/>
          <w:sz w:val="22"/>
        </w:rPr>
      </w:pPr>
      <w:r>
        <w:rPr>
          <w:b/>
          <w:color w:val="4C4D4F"/>
          <w:sz w:val="22"/>
        </w:rPr>
        <w:t>LGBTIQ-identifying </w:t>
      </w:r>
      <w:r>
        <w:rPr>
          <w:color w:val="4C4D4F"/>
          <w:sz w:val="22"/>
        </w:rPr>
        <w:t>young people are at a greater risk of family violence or rejection,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driving higher levels of youth homelessness (Dempsey, Parkinson, Andrews, &amp; McNair,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2020).</w:t>
      </w:r>
    </w:p>
    <w:p>
      <w:pPr>
        <w:spacing w:after="0" w:line="283" w:lineRule="auto"/>
        <w:jc w:val="left"/>
        <w:rPr>
          <w:rFonts w:ascii="Symbol" w:hAnsi="Symbol"/>
          <w:sz w:val="22"/>
        </w:rPr>
        <w:sectPr>
          <w:headerReference w:type="default" r:id="rId9"/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71" w:after="0"/>
        <w:ind w:left="829" w:right="550" w:hanging="360"/>
        <w:jc w:val="left"/>
        <w:rPr>
          <w:rFonts w:ascii="Symbol" w:hAnsi="Symbol"/>
          <w:color w:val="4C4D4F"/>
          <w:sz w:val="22"/>
        </w:rPr>
      </w:pPr>
      <w:r>
        <w:rPr>
          <w:b/>
          <w:color w:val="4C4D4F"/>
          <w:sz w:val="22"/>
        </w:rPr>
        <w:t>Trans-identifying </w:t>
      </w:r>
      <w:r>
        <w:rPr>
          <w:color w:val="4C4D4F"/>
          <w:sz w:val="22"/>
        </w:rPr>
        <w:t>young people are at a particularly high risk of mental ill health, with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nearly three quarters reporting to the first Australian survey of trans youth that they had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been diagnosed with depression or anxiety at some time. Nearly 80 per cent had self-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harmed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just under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fifty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 cent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had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attempted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suicide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(Strauss,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al.,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2017).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2"/>
        </w:rPr>
        <w:t> </w:t>
      </w:r>
      <w:r>
        <w:rPr>
          <w:color w:val="44687A"/>
        </w:rPr>
        <w:t>COVID-19</w:t>
      </w:r>
      <w:r>
        <w:rPr>
          <w:color w:val="44687A"/>
          <w:spacing w:val="-2"/>
        </w:rPr>
        <w:t> </w:t>
      </w:r>
      <w:r>
        <w:rPr>
          <w:color w:val="44687A"/>
        </w:rPr>
        <w:t>affected</w:t>
      </w:r>
      <w:r>
        <w:rPr>
          <w:color w:val="44687A"/>
          <w:spacing w:val="-1"/>
        </w:rPr>
        <w:t> </w:t>
      </w:r>
      <w:r>
        <w:rPr>
          <w:color w:val="44687A"/>
        </w:rPr>
        <w:t>outcomes</w:t>
      </w:r>
      <w:r>
        <w:rPr>
          <w:color w:val="44687A"/>
          <w:spacing w:val="-2"/>
        </w:rPr>
        <w:t> </w:t>
      </w:r>
      <w:r>
        <w:rPr>
          <w:color w:val="44687A"/>
        </w:rPr>
        <w:t>for</w:t>
      </w:r>
      <w:r>
        <w:rPr>
          <w:color w:val="44687A"/>
          <w:spacing w:val="-4"/>
        </w:rPr>
        <w:t> </w:t>
      </w:r>
      <w:r>
        <w:rPr>
          <w:color w:val="44687A"/>
        </w:rPr>
        <w:t>young</w:t>
      </w:r>
      <w:r>
        <w:rPr>
          <w:color w:val="44687A"/>
          <w:spacing w:val="-1"/>
        </w:rPr>
        <w:t> </w:t>
      </w:r>
      <w:r>
        <w:rPr>
          <w:color w:val="44687A"/>
        </w:rPr>
        <w:t>people?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43" w:after="0"/>
        <w:ind w:left="829" w:right="23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Young people have been disproportionately impacted by the COVID-19 pandemic through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joblessness, disrupted education, reduced social connections and increased anxiety about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their futures (VicHealth, 2020). Changes in schooling, work patterns and COVID-19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disruptions will impact youth transition to University from secondary school and may also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impact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school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disengagement.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7" w:after="0"/>
        <w:ind w:left="829" w:right="36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According to YACVic’s (2020) survey into the impacts of COVID-19 on young people,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loss of social interaction was a primary concern for the majority of young people with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increased social isolation and reduced access to services which in turn impacted mental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 outcomes.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1"/>
        <w:ind w:left="0" w:firstLine="0"/>
        <w:rPr>
          <w:sz w:val="18"/>
        </w:rPr>
      </w:pPr>
    </w:p>
    <w:p>
      <w:pPr>
        <w:pStyle w:val="Heading1"/>
      </w:pPr>
      <w:r>
        <w:rPr>
          <w:color w:val="44687A"/>
        </w:rPr>
        <w:t>Why is supporting</w:t>
      </w:r>
      <w:r>
        <w:rPr>
          <w:color w:val="44687A"/>
          <w:spacing w:val="-2"/>
        </w:rPr>
        <w:t> </w:t>
      </w:r>
      <w:r>
        <w:rPr>
          <w:color w:val="44687A"/>
        </w:rPr>
        <w:t>young</w:t>
      </w:r>
      <w:r>
        <w:rPr>
          <w:color w:val="44687A"/>
          <w:spacing w:val="1"/>
        </w:rPr>
        <w:t> </w:t>
      </w:r>
      <w:r>
        <w:rPr>
          <w:color w:val="44687A"/>
        </w:rPr>
        <w:t>people important</w:t>
      </w:r>
      <w:r>
        <w:rPr>
          <w:color w:val="44687A"/>
          <w:spacing w:val="-1"/>
        </w:rPr>
        <w:t> </w:t>
      </w:r>
      <w:r>
        <w:rPr>
          <w:color w:val="44687A"/>
        </w:rPr>
        <w:t>for</w:t>
      </w:r>
      <w:r>
        <w:rPr>
          <w:color w:val="44687A"/>
          <w:spacing w:val="-1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88" w:after="0"/>
        <w:ind w:left="829" w:right="61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When young people have their voices heard and are involved in the community, they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develop skills, opportunities and are better equipped for the future which contributes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healthy and productive adults. Likewise, communities’ benefit through young peoples'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innovations, social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cohesion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understanding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young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people’s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strengths.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28" w:after="0"/>
        <w:ind w:left="829" w:right="695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Young people make considerable contributions to the creative and cultural life of Port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Phillip. They are active participants in arts-based programs, community enhancement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programs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and public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events.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This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contribution</w:t>
      </w:r>
      <w:r>
        <w:rPr>
          <w:color w:val="4C4D4F"/>
          <w:sz w:val="22"/>
        </w:rPr>
        <w:t> needs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 maintained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enhanced.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49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role</w:t>
      </w:r>
      <w:r>
        <w:rPr>
          <w:color w:val="44687A"/>
          <w:spacing w:val="-3"/>
        </w:rPr>
        <w:t> </w:t>
      </w:r>
      <w:r>
        <w:rPr>
          <w:color w:val="44687A"/>
        </w:rPr>
        <w:t>of</w:t>
      </w:r>
      <w:r>
        <w:rPr>
          <w:color w:val="44687A"/>
          <w:spacing w:val="-1"/>
        </w:rPr>
        <w:t> </w:t>
      </w:r>
      <w:r>
        <w:rPr>
          <w:color w:val="44687A"/>
        </w:rPr>
        <w:t>Council</w:t>
      </w:r>
      <w:r>
        <w:rPr>
          <w:color w:val="44687A"/>
          <w:spacing w:val="-1"/>
        </w:rPr>
        <w:t> </w:t>
      </w:r>
      <w:r>
        <w:rPr>
          <w:color w:val="44687A"/>
        </w:rPr>
        <w:t>in</w:t>
      </w:r>
      <w:r>
        <w:rPr>
          <w:color w:val="44687A"/>
          <w:spacing w:val="-3"/>
        </w:rPr>
        <w:t> </w:t>
      </w:r>
      <w:r>
        <w:rPr>
          <w:color w:val="44687A"/>
        </w:rPr>
        <w:t>contributing to</w:t>
      </w:r>
      <w:r>
        <w:rPr>
          <w:color w:val="44687A"/>
          <w:spacing w:val="-3"/>
        </w:rPr>
        <w:t> </w:t>
      </w:r>
      <w:r>
        <w:rPr>
          <w:color w:val="44687A"/>
        </w:rPr>
        <w:t>outcomes</w:t>
      </w:r>
      <w:r>
        <w:rPr>
          <w:color w:val="44687A"/>
          <w:spacing w:val="-1"/>
        </w:rPr>
        <w:t> </w:t>
      </w:r>
      <w:r>
        <w:rPr>
          <w:color w:val="44687A"/>
        </w:rPr>
        <w:t>for</w:t>
      </w:r>
      <w:r>
        <w:rPr>
          <w:color w:val="44687A"/>
          <w:spacing w:val="-2"/>
        </w:rPr>
        <w:t> </w:t>
      </w:r>
      <w:r>
        <w:rPr>
          <w:color w:val="44687A"/>
        </w:rPr>
        <w:t>young</w:t>
      </w:r>
      <w:r>
        <w:rPr>
          <w:color w:val="44687A"/>
          <w:spacing w:val="-2"/>
        </w:rPr>
        <w:t> </w:t>
      </w:r>
      <w:r>
        <w:rPr>
          <w:color w:val="44687A"/>
        </w:rPr>
        <w:t>people?</w:t>
      </w:r>
    </w:p>
    <w:p>
      <w:pPr>
        <w:pStyle w:val="BodyText"/>
        <w:spacing w:line="288" w:lineRule="auto" w:before="186"/>
        <w:ind w:left="109" w:right="465" w:firstLine="0"/>
        <w:jc w:val="both"/>
      </w:pPr>
      <w:r>
        <w:rPr>
          <w:color w:val="4C4D4F"/>
        </w:rPr>
        <w:t>For most young people, families and care givers continue to play an important role in their lives</w:t>
      </w:r>
      <w:r>
        <w:rPr>
          <w:color w:val="4C4D4F"/>
          <w:spacing w:val="-59"/>
        </w:rPr>
        <w:t> </w:t>
      </w:r>
      <w:r>
        <w:rPr>
          <w:color w:val="4C4D4F"/>
        </w:rPr>
        <w:t>however this is a time of increasing independence and identifying with their peers. Services for</w:t>
      </w:r>
      <w:r>
        <w:rPr>
          <w:color w:val="4C4D4F"/>
          <w:spacing w:val="1"/>
        </w:rPr>
        <w:t> </w:t>
      </w:r>
      <w:r>
        <w:rPr>
          <w:color w:val="4C4D4F"/>
        </w:rPr>
        <w:t>young</w:t>
      </w:r>
      <w:r>
        <w:rPr>
          <w:color w:val="4C4D4F"/>
          <w:spacing w:val="-4"/>
        </w:rPr>
        <w:t> </w:t>
      </w:r>
      <w:r>
        <w:rPr>
          <w:color w:val="4C4D4F"/>
        </w:rPr>
        <w:t>people</w:t>
      </w:r>
      <w:r>
        <w:rPr>
          <w:color w:val="4C4D4F"/>
          <w:spacing w:val="-3"/>
        </w:rPr>
        <w:t> </w:t>
      </w:r>
      <w:r>
        <w:rPr>
          <w:color w:val="4C4D4F"/>
        </w:rPr>
        <w:t>are</w:t>
      </w:r>
      <w:r>
        <w:rPr>
          <w:color w:val="4C4D4F"/>
          <w:spacing w:val="-5"/>
        </w:rPr>
        <w:t> </w:t>
      </w:r>
      <w:r>
        <w:rPr>
          <w:color w:val="4C4D4F"/>
        </w:rPr>
        <w:t>provided</w:t>
      </w:r>
      <w:r>
        <w:rPr>
          <w:color w:val="4C4D4F"/>
          <w:spacing w:val="-3"/>
        </w:rPr>
        <w:t> </w:t>
      </w:r>
      <w:r>
        <w:rPr>
          <w:color w:val="4C4D4F"/>
        </w:rPr>
        <w:t>through</w:t>
      </w:r>
      <w:r>
        <w:rPr>
          <w:color w:val="4C4D4F"/>
          <w:spacing w:val="-3"/>
        </w:rPr>
        <w:t> </w:t>
      </w:r>
      <w:r>
        <w:rPr>
          <w:color w:val="4C4D4F"/>
        </w:rPr>
        <w:t>schools,</w:t>
      </w:r>
      <w:r>
        <w:rPr>
          <w:color w:val="4C4D4F"/>
          <w:spacing w:val="-1"/>
        </w:rPr>
        <w:t> </w:t>
      </w:r>
      <w:r>
        <w:rPr>
          <w:color w:val="4C4D4F"/>
        </w:rPr>
        <w:t>not-for-profit</w:t>
      </w:r>
      <w:r>
        <w:rPr>
          <w:color w:val="4C4D4F"/>
          <w:spacing w:val="-3"/>
        </w:rPr>
        <w:t> </w:t>
      </w:r>
      <w:r>
        <w:rPr>
          <w:color w:val="4C4D4F"/>
        </w:rPr>
        <w:t>groups</w:t>
      </w:r>
      <w:r>
        <w:rPr>
          <w:color w:val="4C4D4F"/>
          <w:spacing w:val="-5"/>
        </w:rPr>
        <w:t> </w:t>
      </w:r>
      <w:r>
        <w:rPr>
          <w:color w:val="4C4D4F"/>
        </w:rPr>
        <w:t>and</w:t>
      </w:r>
      <w:r>
        <w:rPr>
          <w:color w:val="4C4D4F"/>
          <w:spacing w:val="-5"/>
        </w:rPr>
        <w:t> </w:t>
      </w:r>
      <w:r>
        <w:rPr>
          <w:color w:val="4C4D4F"/>
        </w:rPr>
        <w:t>community</w:t>
      </w:r>
      <w:r>
        <w:rPr>
          <w:color w:val="4C4D4F"/>
          <w:spacing w:val="-4"/>
        </w:rPr>
        <w:t> </w:t>
      </w:r>
      <w:r>
        <w:rPr>
          <w:color w:val="4C4D4F"/>
        </w:rPr>
        <w:t>organisations.</w:t>
      </w:r>
    </w:p>
    <w:p>
      <w:pPr>
        <w:pStyle w:val="BodyText"/>
        <w:spacing w:line="288" w:lineRule="auto" w:before="121"/>
        <w:ind w:left="109" w:right="231" w:firstLine="0"/>
      </w:pPr>
      <w:r>
        <w:rPr>
          <w:color w:val="4C4D4F"/>
        </w:rPr>
        <w:t>Local government has a long history of engaging with and supporting young people through a</w:t>
      </w:r>
      <w:r>
        <w:rPr>
          <w:color w:val="4C4D4F"/>
          <w:spacing w:val="1"/>
        </w:rPr>
        <w:t> </w:t>
      </w:r>
      <w:r>
        <w:rPr>
          <w:color w:val="4C4D4F"/>
        </w:rPr>
        <w:t>range of programs including sporting and recreational facilities, events, libraries, homework clubs,</w:t>
      </w:r>
      <w:r>
        <w:rPr>
          <w:color w:val="4C4D4F"/>
          <w:spacing w:val="-59"/>
        </w:rPr>
        <w:t> </w:t>
      </w:r>
      <w:r>
        <w:rPr>
          <w:color w:val="4C4D4F"/>
        </w:rPr>
        <w:t>youth centres, leadership programs and support programs to support the specific health and</w:t>
      </w:r>
      <w:r>
        <w:rPr>
          <w:color w:val="4C4D4F"/>
          <w:spacing w:val="1"/>
        </w:rPr>
        <w:t> </w:t>
      </w:r>
      <w:r>
        <w:rPr>
          <w:color w:val="4C4D4F"/>
        </w:rPr>
        <w:t>wellbeing</w:t>
      </w:r>
      <w:r>
        <w:rPr>
          <w:color w:val="4C4D4F"/>
          <w:spacing w:val="-1"/>
        </w:rPr>
        <w:t> </w:t>
      </w:r>
      <w:r>
        <w:rPr>
          <w:color w:val="4C4D4F"/>
        </w:rPr>
        <w:t>concerns of young</w:t>
      </w:r>
      <w:r>
        <w:rPr>
          <w:color w:val="4C4D4F"/>
          <w:spacing w:val="-1"/>
        </w:rPr>
        <w:t> </w:t>
      </w:r>
      <w:r>
        <w:rPr>
          <w:color w:val="4C4D4F"/>
        </w:rPr>
        <w:t>people in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1"/>
        </w:rPr>
        <w:t> </w:t>
      </w:r>
      <w:r>
        <w:rPr>
          <w:color w:val="4C4D4F"/>
        </w:rPr>
        <w:t>local community.</w:t>
      </w:r>
    </w:p>
    <w:p>
      <w:pPr>
        <w:pStyle w:val="BodyText"/>
        <w:spacing w:line="288" w:lineRule="auto" w:before="121"/>
        <w:ind w:left="109" w:right="108" w:firstLine="0"/>
      </w:pPr>
      <w:r>
        <w:rPr>
          <w:color w:val="4C4D4F"/>
        </w:rPr>
        <w:t>Victorian local governments are required to promote the health and wellbeing of all its residents</w:t>
      </w:r>
      <w:r>
        <w:rPr>
          <w:color w:val="4C4D4F"/>
          <w:spacing w:val="1"/>
        </w:rPr>
        <w:t> </w:t>
      </w:r>
      <w:r>
        <w:rPr>
          <w:color w:val="4C4D4F"/>
        </w:rPr>
        <w:t>including young people. In addition to mandated responsibilities, over the next three years Port</w:t>
      </w:r>
      <w:r>
        <w:rPr>
          <w:color w:val="4C4D4F"/>
          <w:spacing w:val="1"/>
        </w:rPr>
        <w:t> </w:t>
      </w:r>
      <w:r>
        <w:rPr>
          <w:color w:val="4C4D4F"/>
        </w:rPr>
        <w:t>Phillip has the opportunity to make a more substantial contribution to outcomes for young people in</w:t>
      </w:r>
      <w:r>
        <w:rPr>
          <w:color w:val="4C4D4F"/>
          <w:spacing w:val="-59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municipality by: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47" w:after="0"/>
        <w:ind w:left="829" w:right="474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Undertaking activities with reference to the Developmental Domains associated with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Transition to Adulthood and application of the Development Assets Youth Development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Framework.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14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Enabling youth leadership through initiatives such as the Student Leadership Program,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FReeZA Committee, Youth in Chamber and the Youth Advisory Committee while also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providing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spaces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for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young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people</w:t>
      </w:r>
      <w:r>
        <w:rPr>
          <w:color w:val="4C4D4F"/>
          <w:sz w:val="22"/>
        </w:rPr>
        <w:t> 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make contributions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community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feel</w:t>
      </w:r>
      <w:r>
        <w:rPr>
          <w:color w:val="4C4D4F"/>
          <w:spacing w:val="-23"/>
          <w:sz w:val="22"/>
        </w:rPr>
        <w:t> </w:t>
      </w:r>
      <w:r>
        <w:rPr>
          <w:color w:val="4C4D4F"/>
          <w:sz w:val="22"/>
        </w:rPr>
        <w:t>heard.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30" w:right="33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Facilitating networks for local services, educators and community groups to identify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opportunities to work together to achieve improved outcomes for young people while also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providing professional development opportunities to ensure the local youth sector has the</w:t>
      </w:r>
      <w:r>
        <w:rPr>
          <w:color w:val="4C4D4F"/>
          <w:spacing w:val="-60"/>
          <w:sz w:val="22"/>
        </w:rPr>
        <w:t> </w:t>
      </w:r>
      <w:r>
        <w:rPr>
          <w:color w:val="4C4D4F"/>
          <w:sz w:val="22"/>
        </w:rPr>
        <w:t>knowledge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skills to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manage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 current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issues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faced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young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83" w:lineRule="auto" w:before="125" w:after="0"/>
        <w:ind w:left="830" w:right="157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Continuing to provide opportunities for young residents to contribute to creative activity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public events taking place across the municipality. This is achieved by Port Phillip’s annual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involvement with Under the Radar Film Festival (St Kilda Film Festival’s youth component),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Takeover Melbourne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Story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telling Competition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 Minus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18’s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Queer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Formal.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9" w:after="0"/>
        <w:ind w:left="830" w:right="29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youth support to assist individual young people living, working or studying in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City of Port Phillip while also funding group recreational activities supporting early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intervention such as the Skate Club at park towers and 3 on 3 Basketball Tournament 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 Kilda Foreshore in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2020.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8" w:after="0"/>
        <w:ind w:left="830" w:right="12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recreational opportunities for young people to support early intervention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prevention through programming at the Adventure Playgrounds as well as providing referral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pathways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specialist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7" w:after="0"/>
        <w:ind w:left="830" w:right="40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Introducing of the Youth Access Grants program to increase the provision of recreational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activities in the municipality and ensuring 12 to 18 year olds can access these activities,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especially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throughout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recovery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phase of COVID-19.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21" w:after="0"/>
        <w:ind w:left="830" w:right="11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Considering diversity of events held in public space. Encouraging family friendly events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events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support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youth participation.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Heading1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68"/>
        <w:ind w:left="109" w:right="170" w:firstLine="0"/>
      </w:pPr>
      <w:r>
        <w:rPr>
          <w:color w:val="4C4D4F"/>
        </w:rPr>
        <w:t>In order to facilitate a comprehensive, consistent and whole of community approach to ensuring</w:t>
      </w:r>
      <w:r>
        <w:rPr>
          <w:color w:val="4C4D4F"/>
          <w:spacing w:val="1"/>
        </w:rPr>
        <w:t> </w:t>
      </w:r>
      <w:r>
        <w:rPr>
          <w:color w:val="4C4D4F"/>
        </w:rPr>
        <w:t>equitable outcomes for all young people, Council partners with community organizations and other</w:t>
      </w:r>
      <w:r>
        <w:rPr>
          <w:color w:val="4C4D4F"/>
          <w:spacing w:val="-59"/>
        </w:rPr>
        <w:t> </w:t>
      </w:r>
      <w:r>
        <w:rPr>
          <w:color w:val="4C4D4F"/>
        </w:rPr>
        <w:t>levels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government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deliver</w:t>
      </w:r>
      <w:r>
        <w:rPr>
          <w:color w:val="4C4D4F"/>
          <w:spacing w:val="1"/>
        </w:rPr>
        <w:t> </w:t>
      </w:r>
      <w:r>
        <w:rPr>
          <w:color w:val="4C4D4F"/>
        </w:rPr>
        <w:t>community</w:t>
      </w:r>
      <w:r>
        <w:rPr>
          <w:color w:val="4C4D4F"/>
          <w:spacing w:val="-2"/>
        </w:rPr>
        <w:t> </w:t>
      </w:r>
      <w:r>
        <w:rPr>
          <w:color w:val="4C4D4F"/>
        </w:rPr>
        <w:t>interventions.</w:t>
      </w:r>
      <w:r>
        <w:rPr>
          <w:color w:val="4C4D4F"/>
          <w:spacing w:val="1"/>
        </w:rPr>
        <w:t> </w:t>
      </w:r>
      <w:r>
        <w:rPr>
          <w:color w:val="4C4D4F"/>
        </w:rPr>
        <w:t>Some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our</w:t>
      </w:r>
      <w:r>
        <w:rPr>
          <w:color w:val="4C4D4F"/>
          <w:spacing w:val="-1"/>
        </w:rPr>
        <w:t> </w:t>
      </w:r>
      <w:r>
        <w:rPr>
          <w:color w:val="4C4D4F"/>
        </w:rPr>
        <w:t>key</w:t>
      </w:r>
      <w:r>
        <w:rPr>
          <w:color w:val="4C4D4F"/>
          <w:spacing w:val="-2"/>
        </w:rPr>
        <w:t> </w:t>
      </w:r>
      <w:r>
        <w:rPr>
          <w:color w:val="4C4D4F"/>
        </w:rPr>
        <w:t>partners</w:t>
      </w:r>
      <w:r>
        <w:rPr>
          <w:color w:val="4C4D4F"/>
          <w:spacing w:val="-2"/>
        </w:rPr>
        <w:t> </w:t>
      </w:r>
      <w:r>
        <w:rPr>
          <w:color w:val="4C4D4F"/>
        </w:rPr>
        <w:t>include: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18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schools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post-secondary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providers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7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youth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Arts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VicHealth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70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YacVic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71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Creative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Sport 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DHHS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4" w:after="0"/>
        <w:ind w:left="829" w:right="0" w:hanging="361"/>
        <w:jc w:val="left"/>
        <w:rPr>
          <w:rFonts w:ascii="Symbol" w:hAnsi="Symbol"/>
          <w:color w:val="44687A"/>
          <w:sz w:val="22"/>
        </w:rPr>
      </w:pPr>
      <w:r>
        <w:rPr>
          <w:color w:val="4C4D4F"/>
          <w:sz w:val="22"/>
        </w:rPr>
        <w:t>Victoria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police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33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52" w:lineRule="auto" w:before="190" w:after="0"/>
        <w:ind w:left="829" w:right="99" w:hanging="360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Whilst it is clear that young people have been disproportionately impacted by the COVID-19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pandemic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it is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uncertain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what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impact this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will have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medium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term.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8"/>
        </w:rPr>
      </w:pPr>
    </w:p>
    <w:p>
      <w:pPr>
        <w:pStyle w:val="Heading1"/>
      </w:pPr>
      <w:r>
        <w:rPr>
          <w:color w:val="44687A"/>
        </w:rPr>
        <w:t>References</w:t>
      </w:r>
    </w:p>
    <w:p>
      <w:pPr>
        <w:pStyle w:val="BodyText"/>
        <w:spacing w:line="288" w:lineRule="auto" w:before="243"/>
        <w:ind w:right="222" w:hanging="721"/>
      </w:pPr>
      <w:r>
        <w:rPr>
          <w:color w:val="4C4D4F"/>
        </w:rPr>
        <w:t>Dempsey, D., Parkinson, S., Andrews, C., &amp; McNair, R. (2020). Family relationships and LGB first</w:t>
      </w:r>
      <w:r>
        <w:rPr>
          <w:color w:val="4C4D4F"/>
          <w:spacing w:val="-59"/>
        </w:rPr>
        <w:t> </w:t>
      </w:r>
      <w:r>
        <w:rPr>
          <w:color w:val="4C4D4F"/>
        </w:rPr>
        <w:t>homelessness in Australia: What do we know and where should we go? </w:t>
      </w:r>
      <w:r>
        <w:rPr>
          <w:i/>
          <w:color w:val="4C4D4F"/>
        </w:rPr>
        <w:t>Journal of</w:t>
      </w:r>
      <w:r>
        <w:rPr>
          <w:i/>
          <w:color w:val="4C4D4F"/>
          <w:spacing w:val="1"/>
        </w:rPr>
        <w:t> </w:t>
      </w:r>
      <w:r>
        <w:rPr>
          <w:i/>
          <w:color w:val="4C4D4F"/>
        </w:rPr>
        <w:t>Sociology,</w:t>
      </w:r>
      <w:r>
        <w:rPr>
          <w:i/>
          <w:color w:val="4C4D4F"/>
          <w:spacing w:val="1"/>
        </w:rPr>
        <w:t> </w:t>
      </w:r>
      <w:r>
        <w:rPr>
          <w:i/>
          <w:color w:val="4C4D4F"/>
        </w:rPr>
        <w:t>212</w:t>
      </w:r>
      <w:r>
        <w:rPr>
          <w:color w:val="4C4D4F"/>
        </w:rPr>
        <w:t>(4), 150-51.</w:t>
      </w:r>
      <w:r>
        <w:rPr>
          <w:color w:val="4C4D4F"/>
          <w:spacing w:val="2"/>
        </w:rPr>
        <w:t> </w:t>
      </w:r>
      <w:r>
        <w:rPr>
          <w:color w:val="4C4D4F"/>
        </w:rPr>
        <w:t>doi:10.5694/mja2.50497</w:t>
      </w:r>
    </w:p>
    <w:p>
      <w:pPr>
        <w:spacing w:line="288" w:lineRule="auto" w:before="122"/>
        <w:ind w:left="829" w:right="146" w:hanging="721"/>
        <w:jc w:val="left"/>
        <w:rPr>
          <w:sz w:val="22"/>
        </w:rPr>
      </w:pPr>
      <w:r>
        <w:rPr>
          <w:color w:val="4C4D4F"/>
          <w:sz w:val="22"/>
        </w:rPr>
        <w:t>Department of Health and Human Services. (2015). </w:t>
      </w:r>
      <w:r>
        <w:rPr>
          <w:i/>
          <w:color w:val="4C4D4F"/>
          <w:sz w:val="22"/>
        </w:rPr>
        <w:t>Mental Health and Wellbeing of Young People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Aged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12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to 25. </w:t>
      </w:r>
      <w:r>
        <w:rPr>
          <w:color w:val="4C4D4F"/>
          <w:sz w:val="22"/>
        </w:rPr>
        <w:t>Melbourne: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Government.</w:t>
      </w:r>
    </w:p>
    <w:p>
      <w:pPr>
        <w:pStyle w:val="BodyText"/>
        <w:spacing w:before="118"/>
        <w:ind w:left="109" w:firstLine="0"/>
      </w:pPr>
      <w:r>
        <w:rPr>
          <w:color w:val="4C4D4F"/>
        </w:rPr>
        <w:t>Resilient</w:t>
      </w:r>
      <w:r>
        <w:rPr>
          <w:color w:val="4C4D4F"/>
          <w:spacing w:val="-1"/>
        </w:rPr>
        <w:t> </w:t>
      </w:r>
      <w:r>
        <w:rPr>
          <w:color w:val="4C4D4F"/>
        </w:rPr>
        <w:t>Youth</w:t>
      </w:r>
      <w:r>
        <w:rPr>
          <w:color w:val="4C4D4F"/>
          <w:spacing w:val="-2"/>
        </w:rPr>
        <w:t> </w:t>
      </w:r>
      <w:r>
        <w:rPr>
          <w:color w:val="4C4D4F"/>
        </w:rPr>
        <w:t>Australia.</w:t>
      </w:r>
      <w:r>
        <w:rPr>
          <w:color w:val="4C4D4F"/>
          <w:spacing w:val="-3"/>
        </w:rPr>
        <w:t> </w:t>
      </w:r>
      <w:r>
        <w:rPr>
          <w:color w:val="4C4D4F"/>
        </w:rPr>
        <w:t>(2019). City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3"/>
        </w:rPr>
        <w:t> </w:t>
      </w:r>
      <w:r>
        <w:rPr>
          <w:color w:val="4C4D4F"/>
        </w:rPr>
        <w:t>Port Phillip</w:t>
      </w:r>
      <w:r>
        <w:rPr>
          <w:color w:val="4C4D4F"/>
          <w:spacing w:val="-2"/>
        </w:rPr>
        <w:t> </w:t>
      </w:r>
      <w:r>
        <w:rPr>
          <w:color w:val="4C4D4F"/>
        </w:rPr>
        <w:t>Youth</w:t>
      </w:r>
      <w:r>
        <w:rPr>
          <w:color w:val="4C4D4F"/>
          <w:spacing w:val="-2"/>
        </w:rPr>
        <w:t> </w:t>
      </w:r>
      <w:r>
        <w:rPr>
          <w:color w:val="4C4D4F"/>
        </w:rPr>
        <w:t>Resilience</w:t>
      </w:r>
      <w:r>
        <w:rPr>
          <w:color w:val="4C4D4F"/>
          <w:spacing w:val="-2"/>
        </w:rPr>
        <w:t> </w:t>
      </w:r>
      <w:r>
        <w:rPr>
          <w:color w:val="4C4D4F"/>
        </w:rPr>
        <w:t>Survey.</w:t>
      </w:r>
    </w:p>
    <w:p>
      <w:pPr>
        <w:spacing w:line="288" w:lineRule="auto" w:before="171"/>
        <w:ind w:left="829" w:right="551" w:hanging="721"/>
        <w:jc w:val="left"/>
        <w:rPr>
          <w:sz w:val="22"/>
        </w:rPr>
      </w:pPr>
      <w:r>
        <w:rPr>
          <w:color w:val="4C4D4F"/>
          <w:sz w:val="22"/>
        </w:rPr>
        <w:t>State of Victoria . (2017). </w:t>
      </w:r>
      <w:r>
        <w:rPr>
          <w:i/>
          <w:color w:val="4C4D4F"/>
          <w:sz w:val="22"/>
        </w:rPr>
        <w:t>Free from violence: Victoria’s strategy to prevent family. </w:t>
      </w:r>
      <w:r>
        <w:rPr>
          <w:color w:val="4C4D4F"/>
          <w:sz w:val="22"/>
        </w:rPr>
        <w:t>Publication 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Department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Premier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 Cabinet,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Melbourne.</w:t>
      </w:r>
    </w:p>
    <w:p>
      <w:pPr>
        <w:spacing w:line="288" w:lineRule="auto" w:before="118"/>
        <w:ind w:left="829" w:right="134" w:hanging="720"/>
        <w:jc w:val="left"/>
        <w:rPr>
          <w:sz w:val="22"/>
        </w:rPr>
      </w:pPr>
      <w:r>
        <w:rPr>
          <w:color w:val="4C4D4F"/>
          <w:sz w:val="22"/>
        </w:rPr>
        <w:t>Strauss, P., Cook, A., Winter, S., Watson, V., Toussaint, D. W., &amp; Lin, A. (2017). </w:t>
      </w:r>
      <w:r>
        <w:rPr>
          <w:i/>
          <w:color w:val="4C4D4F"/>
          <w:sz w:val="22"/>
        </w:rPr>
        <w:t>Trans Pathways: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The Mental Health Expriences and Care Pathways of Trans Young People. </w:t>
      </w:r>
      <w:r>
        <w:rPr>
          <w:color w:val="4C4D4F"/>
          <w:sz w:val="22"/>
        </w:rPr>
        <w:t>Perth: Telethon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Kids Institute.</w:t>
      </w:r>
    </w:p>
    <w:p>
      <w:pPr>
        <w:spacing w:before="124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VicHealth.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(2020).</w:t>
      </w:r>
      <w:r>
        <w:rPr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Coronavirus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Wellbeing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Impact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Study.</w:t>
      </w:r>
    </w:p>
    <w:p>
      <w:pPr>
        <w:spacing w:line="288" w:lineRule="auto" w:before="169"/>
        <w:ind w:left="829" w:right="819" w:hanging="721"/>
        <w:jc w:val="left"/>
        <w:rPr>
          <w:sz w:val="22"/>
        </w:rPr>
      </w:pPr>
      <w:r>
        <w:rPr>
          <w:color w:val="4C4D4F"/>
          <w:sz w:val="22"/>
        </w:rPr>
        <w:t>VicHealth. (2020). </w:t>
      </w:r>
      <w:r>
        <w:rPr>
          <w:i/>
          <w:color w:val="4C4D4F"/>
          <w:sz w:val="22"/>
        </w:rPr>
        <w:t>Young People Coping With Coronavirus: Interim Report. </w:t>
      </w:r>
      <w:r>
        <w:rPr>
          <w:color w:val="4C4D4F"/>
          <w:sz w:val="22"/>
        </w:rPr>
        <w:t>Victorian Health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Promotion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Foundation, Melbourne Australia.</w:t>
      </w:r>
    </w:p>
    <w:p>
      <w:pPr>
        <w:spacing w:line="288" w:lineRule="auto" w:before="118"/>
        <w:ind w:left="829" w:right="405" w:hanging="721"/>
        <w:jc w:val="left"/>
        <w:rPr>
          <w:sz w:val="22"/>
        </w:rPr>
      </w:pPr>
      <w:r>
        <w:rPr>
          <w:color w:val="4C4D4F"/>
          <w:sz w:val="22"/>
        </w:rPr>
        <w:t>Youth Affairs Council Victoria (YACVic). (2020). </w:t>
      </w:r>
      <w:r>
        <w:rPr>
          <w:i/>
          <w:color w:val="4C4D4F"/>
          <w:sz w:val="22"/>
        </w:rPr>
        <w:t>YACVic COVID-19 Survey. YACVic, Melbourne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Australia.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Youth Affairs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Council Victoria (YACVic).</w:t>
      </w:r>
    </w:p>
    <w:p>
      <w:pPr>
        <w:spacing w:line="288" w:lineRule="auto" w:before="120"/>
        <w:ind w:left="829" w:right="722" w:hanging="721"/>
        <w:jc w:val="left"/>
        <w:rPr>
          <w:sz w:val="22"/>
        </w:rPr>
      </w:pPr>
      <w:r>
        <w:rPr>
          <w:color w:val="4C4D4F"/>
          <w:sz w:val="22"/>
        </w:rPr>
        <w:t>Youth Resilience Australia (RYA). (2019). </w:t>
      </w:r>
      <w:r>
        <w:rPr>
          <w:i/>
          <w:color w:val="4C4D4F"/>
          <w:sz w:val="22"/>
        </w:rPr>
        <w:t>City of Port Phillip Youth Resilience Survey. </w:t>
      </w:r>
      <w:r>
        <w:rPr>
          <w:color w:val="4C4D4F"/>
          <w:sz w:val="22"/>
        </w:rPr>
        <w:t>Youth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Resilience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Australia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(RYA),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commissioned by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City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Phillip.</w:t>
      </w:r>
    </w:p>
    <w:sectPr>
      <w:pgSz w:w="11910" w:h="16840"/>
      <w:pgMar w:header="0" w:footer="0" w:top="19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448pt;width:246.45pt;height:14.3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Young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People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 Phillip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72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28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2021-02-16T06:09:51Z</dcterms:created>
  <dcterms:modified xsi:type="dcterms:W3CDTF">2021-02-16T06:09:51Z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