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.57999pt;margin-top:2.297pt;width:594.550pt;height:359.5pt;mso-position-horizontal-relative:page;mso-position-vertical-relative:page;z-index:-15811072" coordorigin="12,46" coordsize="11891,7190">
            <v:shape style="position:absolute;left:11;top:45;width:11891;height:1953" type="#_x0000_t75" stroked="false">
              <v:imagedata r:id="rId5" o:title=""/>
            </v:shape>
            <v:rect style="position:absolute;left:11854;top:5925;width:48;height:1310" filled="true" fillcolor="#e1e2e3" stroked="false">
              <v:fill type="solid"/>
            </v:rect>
            <v:rect style="position:absolute;left:17;top:1976;width:11837;height:5255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Title"/>
      </w:pPr>
      <w:r>
        <w:rPr>
          <w:color w:val="4B8594"/>
        </w:rPr>
        <w:t>Older</w:t>
      </w:r>
      <w:r>
        <w:rPr>
          <w:color w:val="4B8594"/>
          <w:spacing w:val="-1"/>
        </w:rPr>
        <w:t> </w:t>
      </w:r>
      <w:r>
        <w:rPr>
          <w:color w:val="4B8594"/>
        </w:rPr>
        <w:t>people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pStyle w:val="BodyText"/>
        <w:spacing w:before="8"/>
        <w:ind w:left="0" w:firstLine="0"/>
        <w:rPr>
          <w:sz w:val="33"/>
        </w:rPr>
      </w:pPr>
    </w:p>
    <w:p>
      <w:pPr>
        <w:spacing w:line="288" w:lineRule="auto" w:before="1"/>
        <w:ind w:left="109" w:right="200" w:firstLine="0"/>
        <w:jc w:val="left"/>
        <w:rPr>
          <w:sz w:val="28"/>
        </w:rPr>
      </w:pPr>
      <w:r>
        <w:rPr>
          <w:color w:val="4C4D4F"/>
          <w:sz w:val="28"/>
        </w:rPr>
        <w:t>Worldwide, people are living longer, bringing new opportunities for older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people to take on a greater role in contributing to and nurturing their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communities; and creating new challenges for the provision of social, political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economic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and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health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delivery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systems</w:t>
      </w:r>
      <w:r>
        <w:rPr>
          <w:color w:val="4C4D4F"/>
          <w:spacing w:val="-4"/>
          <w:sz w:val="28"/>
        </w:rPr>
        <w:t> </w:t>
      </w:r>
      <w:r>
        <w:rPr>
          <w:color w:val="4C4D4F"/>
          <w:sz w:val="28"/>
        </w:rPr>
        <w:t>that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meet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the</w:t>
      </w:r>
      <w:r>
        <w:rPr>
          <w:color w:val="4C4D4F"/>
          <w:spacing w:val="-4"/>
          <w:sz w:val="28"/>
        </w:rPr>
        <w:t> </w:t>
      </w:r>
      <w:r>
        <w:rPr>
          <w:color w:val="4C4D4F"/>
          <w:sz w:val="28"/>
        </w:rPr>
        <w:t>needs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of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older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people.</w:t>
      </w:r>
    </w:p>
    <w:p>
      <w:pPr>
        <w:pStyle w:val="Heading1"/>
        <w:spacing w:line="288" w:lineRule="auto"/>
        <w:ind w:right="246"/>
      </w:pPr>
      <w:r>
        <w:rPr>
          <w:color w:val="4C4D4F"/>
        </w:rPr>
        <w:t>Ageing affects people in different ways. Many older people experience good</w:t>
      </w:r>
      <w:r>
        <w:rPr>
          <w:color w:val="4C4D4F"/>
          <w:spacing w:val="1"/>
        </w:rPr>
        <w:t> </w:t>
      </w:r>
      <w:r>
        <w:rPr>
          <w:color w:val="4C4D4F"/>
        </w:rPr>
        <w:t>health and wellbeing as they age, while others experience declines in mental</w:t>
      </w:r>
      <w:r>
        <w:rPr>
          <w:color w:val="4C4D4F"/>
          <w:spacing w:val="-75"/>
        </w:rPr>
        <w:t> </w:t>
      </w:r>
      <w:r>
        <w:rPr>
          <w:color w:val="4C4D4F"/>
        </w:rPr>
        <w:t>and physical capacities and require significant help from their families and</w:t>
      </w:r>
      <w:r>
        <w:rPr>
          <w:color w:val="4C4D4F"/>
          <w:spacing w:val="1"/>
        </w:rPr>
        <w:t> </w:t>
      </w:r>
      <w:r>
        <w:rPr>
          <w:color w:val="4C4D4F"/>
        </w:rPr>
        <w:t>communities.</w:t>
      </w:r>
    </w:p>
    <w:p>
      <w:pPr>
        <w:pStyle w:val="BodyText"/>
        <w:spacing w:before="11"/>
        <w:ind w:left="0" w:firstLine="0"/>
        <w:rPr>
          <w:sz w:val="36"/>
        </w:rPr>
      </w:pPr>
    </w:p>
    <w:p>
      <w:pPr>
        <w:spacing w:before="0"/>
        <w:ind w:left="109" w:right="0" w:firstLine="0"/>
        <w:jc w:val="left"/>
        <w:rPr>
          <w:sz w:val="28"/>
        </w:rPr>
      </w:pPr>
      <w:r>
        <w:rPr>
          <w:color w:val="44687A"/>
          <w:sz w:val="28"/>
        </w:rPr>
        <w:t>Who</w:t>
      </w:r>
      <w:r>
        <w:rPr>
          <w:color w:val="44687A"/>
          <w:spacing w:val="-4"/>
          <w:sz w:val="28"/>
        </w:rPr>
        <w:t> </w:t>
      </w:r>
      <w:r>
        <w:rPr>
          <w:color w:val="44687A"/>
          <w:sz w:val="28"/>
        </w:rPr>
        <w:t>lives in</w:t>
      </w:r>
      <w:r>
        <w:rPr>
          <w:color w:val="44687A"/>
          <w:spacing w:val="-3"/>
          <w:sz w:val="28"/>
        </w:rPr>
        <w:t> </w:t>
      </w:r>
      <w:r>
        <w:rPr>
          <w:color w:val="44687A"/>
          <w:sz w:val="28"/>
        </w:rPr>
        <w:t>our</w:t>
      </w:r>
      <w:r>
        <w:rPr>
          <w:color w:val="44687A"/>
          <w:spacing w:val="-2"/>
          <w:sz w:val="28"/>
        </w:rPr>
        <w:t> </w:t>
      </w:r>
      <w:r>
        <w:rPr>
          <w:color w:val="44687A"/>
          <w:sz w:val="28"/>
        </w:rPr>
        <w:t>municipality?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87" w:after="0"/>
        <w:ind w:left="829" w:right="115" w:hanging="361"/>
        <w:jc w:val="left"/>
        <w:rPr>
          <w:sz w:val="22"/>
        </w:rPr>
      </w:pPr>
      <w:r>
        <w:rPr>
          <w:color w:val="4C4D4F"/>
          <w:sz w:val="22"/>
        </w:rPr>
        <w:t>People aged 65 years and older make up about 11.5 per cent of the resident population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Port Phillip, compared to 15 per cent across the state (Australian Bureau of Statistics, 2016;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Department of Health and Human Services, 2019). Statewide, this age group is forecast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triple in population size by 2058 and make up a higher proportion of the total population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(Department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2019).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2" w:after="0"/>
        <w:ind w:left="829" w:right="168" w:hanging="361"/>
        <w:jc w:val="left"/>
        <w:rPr>
          <w:sz w:val="22"/>
        </w:rPr>
      </w:pPr>
      <w:r>
        <w:rPr>
          <w:color w:val="4C4D4F"/>
          <w:sz w:val="22"/>
        </w:rPr>
        <w:t>Over 40 per cent of older residents were born overseas. Greece, the United Kingdom, Italy,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Ukraine, and Poland are the most common overseas birthplaces. Compared with Greater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Melbourne, a slightly higher proportion (64.2 per cent) speak only English at home (vs 62.8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per cent in Greater Melbourne). Other than English, Greek, Russian, Italian, Polish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German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most spoken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languages.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35" w:after="0"/>
        <w:ind w:left="829" w:right="244" w:hanging="361"/>
        <w:jc w:val="left"/>
        <w:rPr>
          <w:sz w:val="22"/>
        </w:rPr>
      </w:pPr>
      <w:r>
        <w:rPr>
          <w:color w:val="4C4D4F"/>
          <w:sz w:val="22"/>
        </w:rPr>
        <w:t>People aged 65 years and older living in the City of Port Phillip are increasingly more likely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 have a formal educational qualification (45 per cent vs. 33.7 per cent in 2016 and 34.8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per cent vs. 27.9 per cent in 2011) and be employed than their peers across Greater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78" w:lineRule="auto" w:before="128" w:after="0"/>
        <w:ind w:left="829" w:right="311" w:hanging="361"/>
        <w:jc w:val="left"/>
        <w:rPr>
          <w:sz w:val="22"/>
        </w:rPr>
      </w:pPr>
      <w:r>
        <w:rPr>
          <w:color w:val="4C4D4F"/>
          <w:sz w:val="22"/>
        </w:rPr>
        <w:t>A higher proportion of people aged over 65 years live in lone households (35.1 per cent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Phillip compared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 24.4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 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Melbourne).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29" w:after="0"/>
        <w:ind w:left="829" w:right="387" w:hanging="361"/>
        <w:jc w:val="left"/>
        <w:rPr>
          <w:sz w:val="22"/>
        </w:rPr>
      </w:pPr>
      <w:r>
        <w:rPr>
          <w:color w:val="4C4D4F"/>
          <w:sz w:val="22"/>
        </w:rPr>
        <w:t>Compared with Greater Melbourne, a higher proportion of people aged over 65 years are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living in dwellings that are privately rented (10.1 per cent compared with 7.3 per cent) 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housing (10.7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3.0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cent).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26" w:after="0"/>
        <w:ind w:left="829" w:right="181" w:hanging="361"/>
        <w:jc w:val="left"/>
        <w:rPr>
          <w:sz w:val="22"/>
        </w:rPr>
      </w:pPr>
      <w:r>
        <w:rPr>
          <w:color w:val="4C4D4F"/>
          <w:sz w:val="22"/>
        </w:rPr>
        <w:t>This group is significantly more likely to be living in medium or high-density housing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compared to their Greater Melbourne counterparts (84.3 per cent vs. 23.4 per cent).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2016, 66.3 per cent were in households with an internet connection (in line with proportions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 at 66.9 per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cent).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1910" w:h="16840"/>
          <w:pgMar w:top="4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47" w:after="0"/>
        <w:ind w:left="829" w:right="521" w:hanging="361"/>
        <w:jc w:val="left"/>
        <w:rPr>
          <w:sz w:val="22"/>
        </w:rPr>
      </w:pPr>
      <w:r>
        <w:rPr>
          <w:color w:val="4C4D4F"/>
          <w:sz w:val="22"/>
        </w:rPr>
        <w:t>Of the approximately 11,600 residents aged 65 years and over, more than 5,000 (under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half)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are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receiving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aged</w:t>
      </w:r>
      <w:r>
        <w:rPr>
          <w:color w:val="4C4D4F"/>
          <w:sz w:val="22"/>
        </w:rPr>
        <w:t> pension 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 City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Phillip (City of Port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Phillip,</w:t>
      </w:r>
      <w:r>
        <w:rPr>
          <w:color w:val="4C4D4F"/>
          <w:spacing w:val="-26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are</w:t>
      </w:r>
      <w:r>
        <w:rPr>
          <w:color w:val="44687A"/>
          <w:spacing w:val="-1"/>
        </w:rPr>
        <w:t> </w:t>
      </w:r>
      <w:r>
        <w:rPr>
          <w:color w:val="44687A"/>
        </w:rPr>
        <w:t>older</w:t>
      </w:r>
      <w:r>
        <w:rPr>
          <w:color w:val="44687A"/>
          <w:spacing w:val="-1"/>
        </w:rPr>
        <w:t> </w:t>
      </w:r>
      <w:r>
        <w:rPr>
          <w:color w:val="44687A"/>
        </w:rPr>
        <w:t>people in</w:t>
      </w:r>
      <w:r>
        <w:rPr>
          <w:color w:val="44687A"/>
          <w:spacing w:val="-4"/>
        </w:rPr>
        <w:t> </w:t>
      </w:r>
      <w:r>
        <w:rPr>
          <w:color w:val="44687A"/>
        </w:rPr>
        <w:t>our</w:t>
      </w:r>
      <w:r>
        <w:rPr>
          <w:color w:val="44687A"/>
          <w:spacing w:val="-3"/>
        </w:rPr>
        <w:t> </w:t>
      </w:r>
      <w:r>
        <w:rPr>
          <w:color w:val="44687A"/>
        </w:rPr>
        <w:t>municipality</w:t>
      </w:r>
      <w:r>
        <w:rPr>
          <w:color w:val="44687A"/>
          <w:spacing w:val="-1"/>
        </w:rPr>
        <w:t> </w:t>
      </w:r>
      <w:r>
        <w:rPr>
          <w:color w:val="44687A"/>
        </w:rPr>
        <w:t>tracking?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87" w:after="0"/>
        <w:ind w:left="829" w:right="324" w:hanging="361"/>
        <w:jc w:val="left"/>
        <w:rPr>
          <w:sz w:val="22"/>
        </w:rPr>
      </w:pPr>
      <w:r>
        <w:rPr>
          <w:color w:val="4C4D4F"/>
          <w:sz w:val="22"/>
        </w:rPr>
        <w:t>In 2016, 1,918 people aged 65 and over (16.5 per cent of the resident population aged 65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 over) were recorded as needing help in one of three core activity areas: self-care,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mobility, and communications. This is lower than the proportion for the Great Melbourne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region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28 per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cent.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1" w:after="0"/>
        <w:ind w:left="829" w:right="789" w:hanging="361"/>
        <w:jc w:val="left"/>
        <w:rPr>
          <w:sz w:val="22"/>
        </w:rPr>
      </w:pPr>
      <w:r>
        <w:rPr>
          <w:color w:val="4C4D4F"/>
          <w:sz w:val="22"/>
        </w:rPr>
        <w:t>A study commissioned by Dementia Victoria in 2017 estimated that 1,197 Port Phillip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residents were living with </w:t>
      </w:r>
      <w:r>
        <w:rPr>
          <w:b/>
          <w:color w:val="4C4D4F"/>
          <w:sz w:val="22"/>
        </w:rPr>
        <w:t>dementia </w:t>
      </w:r>
      <w:r>
        <w:rPr>
          <w:color w:val="4C4D4F"/>
          <w:sz w:val="22"/>
        </w:rPr>
        <w:t>in 2016 and that this would increase more than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threefold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by 2050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(NATSEM, University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Canberra,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294" w:hanging="361"/>
        <w:jc w:val="left"/>
        <w:rPr>
          <w:sz w:val="22"/>
        </w:rPr>
      </w:pPr>
      <w:r>
        <w:rPr>
          <w:color w:val="4C4D4F"/>
          <w:sz w:val="22"/>
        </w:rPr>
        <w:t>In Victoria, 10 per cent of people over 60 experience </w:t>
      </w:r>
      <w:r>
        <w:rPr>
          <w:b/>
          <w:color w:val="4C4D4F"/>
          <w:sz w:val="22"/>
        </w:rPr>
        <w:t>chronic loneliness </w:t>
      </w:r>
      <w:r>
        <w:rPr>
          <w:color w:val="4C4D4F"/>
          <w:sz w:val="22"/>
        </w:rPr>
        <w:t>(Department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 and Human Services, 2019). Living alone is a key risk factor for mental ill health.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Whilst data on social connections and loneliness is limited, the City of Port Phillip has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high proportion of older people who live in lone households (35.1 per cent in Port Phillip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compared with 24.4 per cent in Greater Melbourne) although this proportion has remained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stable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over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time.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36" w:after="0"/>
        <w:ind w:left="829" w:right="442" w:hanging="361"/>
        <w:jc w:val="left"/>
        <w:rPr>
          <w:sz w:val="22"/>
        </w:rPr>
      </w:pPr>
      <w:r>
        <w:rPr>
          <w:color w:val="4C4D4F"/>
          <w:sz w:val="22"/>
        </w:rPr>
        <w:t>The relatively high proportion of </w:t>
      </w:r>
      <w:r>
        <w:rPr>
          <w:b/>
          <w:color w:val="4C4D4F"/>
          <w:sz w:val="22"/>
        </w:rPr>
        <w:t>older people living in rented premises or social</w:t>
      </w:r>
      <w:r>
        <w:rPr>
          <w:b/>
          <w:color w:val="4C4D4F"/>
          <w:spacing w:val="1"/>
          <w:sz w:val="22"/>
        </w:rPr>
        <w:t> </w:t>
      </w:r>
      <w:r>
        <w:rPr>
          <w:b/>
          <w:color w:val="4C4D4F"/>
          <w:spacing w:val="-1"/>
          <w:sz w:val="22"/>
        </w:rPr>
        <w:t>housing</w:t>
      </w:r>
      <w:r>
        <w:rPr>
          <w:color w:val="4C4D4F"/>
          <w:spacing w:val="-1"/>
          <w:sz w:val="22"/>
        </w:rPr>
        <w:t>,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is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a trend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that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requires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monitoring </w:t>
      </w:r>
      <w:r>
        <w:rPr>
          <w:color w:val="4C4D4F"/>
          <w:sz w:val="22"/>
        </w:rPr>
        <w:t>(21.4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are currently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renting</w:t>
      </w:r>
      <w:r>
        <w:rPr>
          <w:color w:val="4C4D4F"/>
          <w:spacing w:val="-28"/>
          <w:sz w:val="22"/>
        </w:rPr>
        <w:t> </w:t>
      </w:r>
      <w:r>
        <w:rPr>
          <w:color w:val="4C4D4F"/>
          <w:sz w:val="22"/>
        </w:rPr>
        <w:t>including</w:t>
      </w:r>
    </w:p>
    <w:p>
      <w:pPr>
        <w:pStyle w:val="BodyText"/>
        <w:spacing w:line="288" w:lineRule="auto" w:before="14"/>
        <w:ind w:right="399" w:firstLine="0"/>
      </w:pPr>
      <w:r>
        <w:rPr>
          <w:color w:val="4C4D4F"/>
        </w:rPr>
        <w:t>10.7 per cent in social housing vs. 10.7 per cent of Greater Melbourne residents aged 65</w:t>
      </w:r>
      <w:r>
        <w:rPr>
          <w:color w:val="4C4D4F"/>
          <w:spacing w:val="-59"/>
        </w:rPr>
        <w:t> </w:t>
      </w:r>
      <w:r>
        <w:rPr>
          <w:color w:val="4C4D4F"/>
        </w:rPr>
        <w:t>years and over or which 3.0 per cent are in social housing). In an uncertain economic</w:t>
      </w:r>
      <w:r>
        <w:rPr>
          <w:color w:val="4C4D4F"/>
          <w:spacing w:val="1"/>
        </w:rPr>
        <w:t> </w:t>
      </w:r>
      <w:r>
        <w:rPr>
          <w:color w:val="4C4D4F"/>
        </w:rPr>
        <w:t>climate, and with projected growth in the population of older people, there is potential for</w:t>
      </w:r>
      <w:r>
        <w:rPr>
          <w:color w:val="4C4D4F"/>
          <w:spacing w:val="-59"/>
        </w:rPr>
        <w:t> </w:t>
      </w:r>
      <w:r>
        <w:rPr>
          <w:color w:val="4C4D4F"/>
        </w:rPr>
        <w:t>more older people to be at risk of losing access to adequate housing and economic</w:t>
      </w:r>
      <w:r>
        <w:rPr>
          <w:color w:val="4C4D4F"/>
          <w:spacing w:val="1"/>
        </w:rPr>
        <w:t> </w:t>
      </w:r>
      <w:r>
        <w:rPr>
          <w:color w:val="4C4D4F"/>
        </w:rPr>
        <w:t>disadvantage.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8" w:lineRule="auto" w:before="121" w:after="0"/>
        <w:ind w:left="829" w:right="155" w:hanging="361"/>
        <w:jc w:val="left"/>
        <w:rPr>
          <w:sz w:val="22"/>
        </w:rPr>
      </w:pPr>
      <w:r>
        <w:rPr>
          <w:b/>
          <w:color w:val="4C4D4F"/>
          <w:sz w:val="22"/>
        </w:rPr>
        <w:t>Elder abuse </w:t>
      </w:r>
      <w:r>
        <w:rPr>
          <w:color w:val="4C4D4F"/>
          <w:sz w:val="22"/>
        </w:rPr>
        <w:t>is one of the worst manifestations of ageism and inequality in our society,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most commonly occurs within the family. Whilst elder abuse is believed to be greatly under-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reported, the World Health Organisation estimates that it affects between 1 to 10% of older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people worldwide. Whilst data on the prevalence of elder abuse across Victoria 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unavailable, Victoria Police, Age Care service providers and family violence practitioners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identify elder abuse as a significant and growing issue, which must be addressed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(Department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2019).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51"/>
      </w:pPr>
      <w:r>
        <w:rPr>
          <w:color w:val="44687A"/>
        </w:rPr>
        <w:t>How do</w:t>
      </w:r>
      <w:r>
        <w:rPr>
          <w:color w:val="44687A"/>
          <w:spacing w:val="-2"/>
        </w:rPr>
        <w:t> </w:t>
      </w:r>
      <w:r>
        <w:rPr>
          <w:color w:val="44687A"/>
        </w:rPr>
        <w:t>outcomes</w:t>
      </w:r>
      <w:r>
        <w:rPr>
          <w:color w:val="44687A"/>
          <w:spacing w:val="-3"/>
        </w:rPr>
        <w:t> </w:t>
      </w:r>
      <w:r>
        <w:rPr>
          <w:color w:val="44687A"/>
        </w:rPr>
        <w:t>vary</w:t>
      </w:r>
      <w:r>
        <w:rPr>
          <w:color w:val="44687A"/>
          <w:spacing w:val="-1"/>
        </w:rPr>
        <w:t> </w:t>
      </w:r>
      <w:r>
        <w:rPr>
          <w:color w:val="44687A"/>
        </w:rPr>
        <w:t>for</w:t>
      </w:r>
      <w:r>
        <w:rPr>
          <w:color w:val="44687A"/>
          <w:spacing w:val="-1"/>
        </w:rPr>
        <w:t> </w:t>
      </w:r>
      <w:r>
        <w:rPr>
          <w:color w:val="44687A"/>
        </w:rPr>
        <w:t>different</w:t>
      </w:r>
      <w:r>
        <w:rPr>
          <w:color w:val="44687A"/>
          <w:spacing w:val="1"/>
        </w:rPr>
        <w:t> </w:t>
      </w:r>
      <w:r>
        <w:rPr>
          <w:color w:val="44687A"/>
        </w:rPr>
        <w:t>population</w:t>
      </w:r>
      <w:r>
        <w:rPr>
          <w:color w:val="44687A"/>
          <w:spacing w:val="-3"/>
        </w:rPr>
        <w:t> </w:t>
      </w:r>
      <w:r>
        <w:rPr>
          <w:color w:val="44687A"/>
        </w:rPr>
        <w:t>groups?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90" w:after="0"/>
        <w:ind w:left="829" w:right="177" w:hanging="361"/>
        <w:jc w:val="both"/>
        <w:rPr>
          <w:sz w:val="22"/>
        </w:rPr>
      </w:pPr>
      <w:r>
        <w:rPr>
          <w:color w:val="4C4D4F"/>
          <w:sz w:val="22"/>
        </w:rPr>
        <w:t>Overall, in 2018, Australians aged 65 and over lost more than 1.8 million disability-adjusted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life years due to premature death or living with a disease (Australian Institute of Health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2018).</w:t>
      </w:r>
    </w:p>
    <w:p>
      <w:pPr>
        <w:spacing w:after="0" w:line="283" w:lineRule="auto"/>
        <w:jc w:val="both"/>
        <w:rPr>
          <w:sz w:val="22"/>
        </w:rPr>
        <w:sectPr>
          <w:headerReference w:type="default" r:id="rId6"/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78" w:lineRule="auto" w:before="171" w:after="0"/>
        <w:ind w:left="829" w:right="749" w:hanging="361"/>
        <w:jc w:val="both"/>
        <w:rPr>
          <w:sz w:val="22"/>
        </w:rPr>
      </w:pPr>
      <w:r>
        <w:rPr>
          <w:color w:val="4C4D4F"/>
          <w:sz w:val="22"/>
        </w:rPr>
        <w:t>The highest disease burden was among 65 to 69 year olds and older populations lost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relatively fewer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years1.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28" w:after="0"/>
        <w:ind w:left="829" w:right="303" w:hanging="361"/>
        <w:jc w:val="both"/>
        <w:rPr>
          <w:sz w:val="22"/>
        </w:rPr>
      </w:pPr>
      <w:r>
        <w:rPr>
          <w:color w:val="4C4D4F"/>
          <w:sz w:val="22"/>
        </w:rPr>
        <w:t>The disease burden is relatively evenly distributed between males and female, with males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accounting for just over half (51 per cent) of the burden (Australian Institute of Health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2018)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7" w:after="0"/>
        <w:ind w:left="829" w:right="241" w:hanging="361"/>
        <w:jc w:val="left"/>
        <w:rPr>
          <w:sz w:val="22"/>
        </w:rPr>
      </w:pPr>
      <w:r>
        <w:rPr>
          <w:color w:val="4C4D4F"/>
          <w:sz w:val="22"/>
        </w:rPr>
        <w:t>People who are of ATSI backgrounds have lower life expectancies (in 2012 the life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expectancy for ATSI males was 69.1 years vs. 79.7 for non-ATSI males and 73.7 years for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ATSI females vs. 83.1). (The health and welfare of Australia's Aboriginal and Torres Strait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Islander people, 2015) For this reason, the term older person encompasses Indigenous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aged over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50.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2" w:after="0"/>
        <w:ind w:left="829" w:right="273" w:hanging="361"/>
        <w:jc w:val="left"/>
        <w:rPr>
          <w:sz w:val="22"/>
        </w:rPr>
      </w:pPr>
      <w:r>
        <w:rPr>
          <w:color w:val="4C4D4F"/>
          <w:sz w:val="22"/>
        </w:rPr>
        <w:t>Older people who are GLBTIQ+ are at a higher risk of loneliness and less inclined to enter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mainstream services because of concerns they will face discrimination. This can lead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poorer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outcomes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(Gerard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Mansour,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Commissioner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Senior Victorians,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2016)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457" w:hanging="361"/>
        <w:jc w:val="left"/>
        <w:rPr>
          <w:sz w:val="22"/>
        </w:rPr>
      </w:pPr>
      <w:r>
        <w:rPr>
          <w:color w:val="4C4D4F"/>
          <w:sz w:val="22"/>
        </w:rPr>
        <w:t>Older people have become more likely to undertake roles and responsibilities related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being a carer. Older carers are at a high risk of social isolation and loneliness (Gerard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Mansour,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Commissioner for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Senior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Victorians,</w:t>
      </w:r>
      <w:r>
        <w:rPr>
          <w:color w:val="4C4D4F"/>
          <w:sz w:val="22"/>
        </w:rPr>
        <w:t> 2016).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Additionally,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older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make</w:t>
      </w:r>
      <w:r>
        <w:rPr>
          <w:color w:val="4C4D4F"/>
          <w:spacing w:val="-23"/>
          <w:sz w:val="22"/>
        </w:rPr>
        <w:t> </w:t>
      </w:r>
      <w:r>
        <w:rPr>
          <w:color w:val="4C4D4F"/>
          <w:sz w:val="22"/>
        </w:rPr>
        <w:t>up</w:t>
      </w:r>
    </w:p>
    <w:p>
      <w:pPr>
        <w:pStyle w:val="BodyText"/>
        <w:spacing w:before="2"/>
        <w:ind w:left="830" w:firstLine="0"/>
      </w:pPr>
      <w:r>
        <w:rPr>
          <w:color w:val="4C4D4F"/>
        </w:rPr>
        <w:t>11.5</w:t>
      </w:r>
      <w:r>
        <w:rPr>
          <w:color w:val="4C4D4F"/>
          <w:spacing w:val="-2"/>
        </w:rPr>
        <w:t> </w:t>
      </w:r>
      <w:r>
        <w:rPr>
          <w:color w:val="4C4D4F"/>
        </w:rPr>
        <w:t>per cent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4"/>
        </w:rPr>
        <w:t> </w:t>
      </w:r>
      <w:r>
        <w:rPr>
          <w:color w:val="4C4D4F"/>
        </w:rPr>
        <w:t>resident volunteer</w:t>
      </w:r>
      <w:r>
        <w:rPr>
          <w:color w:val="4C4D4F"/>
          <w:spacing w:val="-3"/>
        </w:rPr>
        <w:t> </w:t>
      </w:r>
      <w:r>
        <w:rPr>
          <w:color w:val="4C4D4F"/>
        </w:rPr>
        <w:t>population</w:t>
      </w:r>
      <w:r>
        <w:rPr>
          <w:color w:val="4C4D4F"/>
          <w:spacing w:val="-4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Port</w:t>
      </w:r>
      <w:r>
        <w:rPr>
          <w:color w:val="4C4D4F"/>
          <w:spacing w:val="-2"/>
        </w:rPr>
        <w:t> </w:t>
      </w:r>
      <w:r>
        <w:rPr>
          <w:color w:val="4C4D4F"/>
        </w:rPr>
        <w:t>Phillip.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44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2"/>
        </w:rPr>
        <w:t> </w:t>
      </w:r>
      <w:r>
        <w:rPr>
          <w:color w:val="44687A"/>
        </w:rPr>
        <w:t>COVID-19 affected</w:t>
      </w:r>
      <w:r>
        <w:rPr>
          <w:color w:val="44687A"/>
          <w:spacing w:val="-1"/>
        </w:rPr>
        <w:t> </w:t>
      </w:r>
      <w:r>
        <w:rPr>
          <w:color w:val="44687A"/>
        </w:rPr>
        <w:t>outcomes</w:t>
      </w:r>
      <w:r>
        <w:rPr>
          <w:color w:val="44687A"/>
          <w:spacing w:val="-2"/>
        </w:rPr>
        <w:t> </w:t>
      </w:r>
      <w:r>
        <w:rPr>
          <w:color w:val="44687A"/>
        </w:rPr>
        <w:t>for</w:t>
      </w:r>
      <w:r>
        <w:rPr>
          <w:color w:val="44687A"/>
          <w:spacing w:val="-2"/>
        </w:rPr>
        <w:t> </w:t>
      </w:r>
      <w:r>
        <w:rPr>
          <w:color w:val="44687A"/>
        </w:rPr>
        <w:t>older</w:t>
      </w:r>
      <w:r>
        <w:rPr>
          <w:color w:val="44687A"/>
          <w:spacing w:val="-3"/>
        </w:rPr>
        <w:t> </w:t>
      </w:r>
      <w:r>
        <w:rPr>
          <w:color w:val="44687A"/>
        </w:rPr>
        <w:t>people?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89" w:after="0"/>
        <w:ind w:left="829" w:right="922" w:hanging="361"/>
        <w:jc w:val="left"/>
        <w:rPr>
          <w:sz w:val="22"/>
        </w:rPr>
      </w:pPr>
      <w:r>
        <w:rPr>
          <w:color w:val="4C4D4F"/>
          <w:sz w:val="22"/>
        </w:rPr>
        <w:t>The pandemic has put a spotlight on how residential and aged care facilities can be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particularly vulnerable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settings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risks.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576" w:hanging="361"/>
        <w:jc w:val="left"/>
        <w:rPr>
          <w:sz w:val="22"/>
        </w:rPr>
      </w:pPr>
      <w:r>
        <w:rPr>
          <w:color w:val="4C4D4F"/>
          <w:sz w:val="22"/>
        </w:rPr>
        <w:t>Social distancing policies may heighten risk factors related to isolation and loneliness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among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older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populations,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which</w:t>
      </w:r>
      <w:r>
        <w:rPr>
          <w:color w:val="4C4D4F"/>
          <w:sz w:val="22"/>
        </w:rPr>
        <w:t> can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lead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mental health issues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cognitive</w:t>
      </w:r>
      <w:r>
        <w:rPr>
          <w:color w:val="4C4D4F"/>
          <w:spacing w:val="-17"/>
          <w:sz w:val="22"/>
        </w:rPr>
        <w:t> </w:t>
      </w:r>
      <w:r>
        <w:rPr>
          <w:color w:val="4C4D4F"/>
          <w:sz w:val="22"/>
        </w:rPr>
        <w:t>decline.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348" w:hanging="361"/>
        <w:jc w:val="left"/>
        <w:rPr>
          <w:sz w:val="22"/>
        </w:rPr>
      </w:pPr>
      <w:r>
        <w:rPr>
          <w:color w:val="4C4D4F"/>
          <w:sz w:val="22"/>
        </w:rPr>
        <w:t>For some older people, the pandemic has provided opportunities to move online and take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advantage of connecting with families and services virtually. For others, the digital divide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has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exacerbated, putting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them 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heightened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risk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isolation.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Heading1"/>
      </w:pPr>
      <w:r>
        <w:rPr>
          <w:color w:val="44687A"/>
        </w:rPr>
        <w:t>Why is supporting</w:t>
      </w:r>
      <w:r>
        <w:rPr>
          <w:color w:val="44687A"/>
          <w:spacing w:val="-1"/>
        </w:rPr>
        <w:t> </w:t>
      </w:r>
      <w:r>
        <w:rPr>
          <w:color w:val="44687A"/>
        </w:rPr>
        <w:t>older</w:t>
      </w:r>
      <w:r>
        <w:rPr>
          <w:color w:val="44687A"/>
          <w:spacing w:val="1"/>
        </w:rPr>
        <w:t> </w:t>
      </w:r>
      <w:r>
        <w:rPr>
          <w:color w:val="44687A"/>
        </w:rPr>
        <w:t>people</w:t>
      </w:r>
      <w:r>
        <w:rPr>
          <w:color w:val="44687A"/>
          <w:spacing w:val="1"/>
        </w:rPr>
        <w:t> </w:t>
      </w:r>
      <w:r>
        <w:rPr>
          <w:color w:val="44687A"/>
        </w:rPr>
        <w:t>important</w:t>
      </w:r>
      <w:r>
        <w:rPr>
          <w:color w:val="44687A"/>
          <w:spacing w:val="-2"/>
        </w:rPr>
        <w:t> </w:t>
      </w:r>
      <w:r>
        <w:rPr>
          <w:color w:val="44687A"/>
        </w:rPr>
        <w:t>for</w:t>
      </w:r>
      <w:r>
        <w:rPr>
          <w:color w:val="44687A"/>
          <w:spacing w:val="-1"/>
        </w:rPr>
        <w:t> </w:t>
      </w:r>
      <w:r>
        <w:rPr>
          <w:color w:val="44687A"/>
        </w:rPr>
        <w:t>our</w:t>
      </w:r>
      <w:r>
        <w:rPr>
          <w:color w:val="44687A"/>
          <w:spacing w:val="-1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87" w:after="0"/>
        <w:ind w:left="829" w:right="501" w:hanging="361"/>
        <w:jc w:val="left"/>
        <w:rPr>
          <w:sz w:val="22"/>
        </w:rPr>
      </w:pPr>
      <w:r>
        <w:rPr>
          <w:color w:val="4C4D4F"/>
          <w:sz w:val="22"/>
        </w:rPr>
        <w:t>People are living longer and the proportion of older people in the population is growing.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 vitality of the local communities and economies are linking the extent to which older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people’s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participation 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fostered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encouraged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129" w:hanging="361"/>
        <w:jc w:val="left"/>
        <w:rPr>
          <w:sz w:val="22"/>
        </w:rPr>
      </w:pPr>
      <w:r>
        <w:rPr>
          <w:color w:val="4C4D4F"/>
          <w:sz w:val="22"/>
        </w:rPr>
        <w:t>Older people have a right to participate and be included in society. The stories, experiences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 wisdom of older people contributes to a civil society and can help build community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values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inclusion,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participation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respect.</w:t>
      </w:r>
    </w:p>
    <w:p>
      <w:pPr>
        <w:pStyle w:val="BodyText"/>
        <w:spacing w:before="6"/>
        <w:ind w:left="0" w:firstLine="0"/>
        <w:rPr>
          <w:sz w:val="10"/>
        </w:rPr>
      </w:pPr>
      <w:r>
        <w:rPr/>
        <w:pict>
          <v:rect style="position:absolute;margin-left:56.48pt;margin-top:8.038027pt;width:144.050pt;height:.600010pt;mso-position-horizontal-relative:page;mso-position-vertical-relative:paragraph;z-index:-15728128;mso-wrap-distance-left:0;mso-wrap-distance-right:0" filled="true" fillcolor="#4c4d4f" stroked="false">
            <v:fill type="solid"/>
            <w10:wrap type="topAndBottom"/>
          </v:rect>
        </w:pic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31"/>
        </w:rPr>
      </w:pPr>
    </w:p>
    <w:p>
      <w:pPr>
        <w:spacing w:line="295" w:lineRule="auto" w:before="0"/>
        <w:ind w:left="109" w:right="243" w:firstLine="0"/>
        <w:jc w:val="left"/>
        <w:rPr>
          <w:sz w:val="16"/>
        </w:rPr>
      </w:pPr>
      <w:r>
        <w:rPr>
          <w:color w:val="4C4D4F"/>
          <w:position w:val="6"/>
          <w:sz w:val="13"/>
        </w:rPr>
        <w:t>1 </w:t>
      </w:r>
      <w:r>
        <w:rPr>
          <w:color w:val="5A5A5D"/>
          <w:sz w:val="16"/>
        </w:rPr>
        <w:t>Disease burden is the impact of a health problem as measured by financial cost, mortality, morbidity, or other indicators. It is often</w:t>
      </w:r>
      <w:r>
        <w:rPr>
          <w:color w:val="5A5A5D"/>
          <w:spacing w:val="1"/>
          <w:sz w:val="16"/>
        </w:rPr>
        <w:t> </w:t>
      </w:r>
      <w:r>
        <w:rPr>
          <w:color w:val="5A5A5D"/>
          <w:sz w:val="16"/>
        </w:rPr>
        <w:t>quantified in terms of quality-adjusted life years (QALYs) or disability-adjusted life years (DALYs), both of which quantify the number of</w:t>
      </w:r>
      <w:r>
        <w:rPr>
          <w:color w:val="5A5A5D"/>
          <w:spacing w:val="-42"/>
          <w:sz w:val="16"/>
        </w:rPr>
        <w:t> </w:t>
      </w:r>
      <w:r>
        <w:rPr>
          <w:color w:val="5A5A5D"/>
          <w:sz w:val="16"/>
        </w:rPr>
        <w:t>years</w:t>
      </w:r>
      <w:r>
        <w:rPr>
          <w:color w:val="5A5A5D"/>
          <w:spacing w:val="-2"/>
          <w:sz w:val="16"/>
        </w:rPr>
        <w:t> </w:t>
      </w:r>
      <w:r>
        <w:rPr>
          <w:color w:val="5A5A5D"/>
          <w:sz w:val="16"/>
        </w:rPr>
        <w:t>lost</w:t>
      </w:r>
      <w:r>
        <w:rPr>
          <w:color w:val="5A5A5D"/>
          <w:spacing w:val="2"/>
          <w:sz w:val="16"/>
        </w:rPr>
        <w:t> </w:t>
      </w:r>
      <w:r>
        <w:rPr>
          <w:color w:val="5A5A5D"/>
          <w:sz w:val="16"/>
        </w:rPr>
        <w:t>due</w:t>
      </w:r>
      <w:r>
        <w:rPr>
          <w:color w:val="5A5A5D"/>
          <w:spacing w:val="-2"/>
          <w:sz w:val="16"/>
        </w:rPr>
        <w:t> </w:t>
      </w:r>
      <w:r>
        <w:rPr>
          <w:color w:val="5A5A5D"/>
          <w:sz w:val="16"/>
        </w:rPr>
        <w:t>to disease (YLDs).</w:t>
      </w:r>
    </w:p>
    <w:p>
      <w:pPr>
        <w:spacing w:after="0" w:line="295" w:lineRule="auto"/>
        <w:jc w:val="left"/>
        <w:rPr>
          <w:sz w:val="16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83" w:lineRule="auto" w:before="147" w:after="0"/>
        <w:ind w:left="829" w:right="19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Many older people are active workers, helpers, carers, parents, and grandparents. Nearly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40 per cent of Victorians aged 65 to 85 also volunteer for their communities (Department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Human Services,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2019)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78" w:lineRule="auto" w:before="124" w:after="0"/>
        <w:ind w:left="830" w:right="47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services that support older people creates new opportunities for them to make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incredibly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valuable contributions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our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communities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28" w:lineRule="auto" w:before="145" w:after="0"/>
        <w:ind w:left="829" w:right="906" w:hanging="360"/>
        <w:jc w:val="left"/>
        <w:rPr>
          <w:rFonts w:ascii="Symbol" w:hAnsi="Symbol"/>
          <w:color w:val="44687A"/>
          <w:sz w:val="28"/>
        </w:rPr>
      </w:pPr>
      <w:r>
        <w:rPr>
          <w:color w:val="4C4D4F"/>
          <w:sz w:val="22"/>
        </w:rPr>
        <w:t>Preventative approaches to create age-friendly communities that increase healthy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behaviours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social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participation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will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prevent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delay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the onset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 many</w:t>
      </w:r>
      <w:r>
        <w:rPr>
          <w:color w:val="4C4D4F"/>
          <w:spacing w:val="-25"/>
          <w:sz w:val="22"/>
        </w:rPr>
        <w:t> </w:t>
      </w:r>
      <w:r>
        <w:rPr>
          <w:color w:val="4C4D4F"/>
          <w:sz w:val="22"/>
        </w:rPr>
        <w:t>illnesses.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8"/>
        <w:ind w:left="0" w:firstLine="0"/>
        <w:rPr>
          <w:sz w:val="35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 the</w:t>
      </w:r>
      <w:r>
        <w:rPr>
          <w:color w:val="44687A"/>
          <w:spacing w:val="-2"/>
        </w:rPr>
        <w:t> </w:t>
      </w:r>
      <w:r>
        <w:rPr>
          <w:color w:val="44687A"/>
        </w:rPr>
        <w:t>role</w:t>
      </w:r>
      <w:r>
        <w:rPr>
          <w:color w:val="44687A"/>
          <w:spacing w:val="-3"/>
        </w:rPr>
        <w:t> </w:t>
      </w:r>
      <w:r>
        <w:rPr>
          <w:color w:val="44687A"/>
        </w:rPr>
        <w:t>of Council</w:t>
      </w:r>
      <w:r>
        <w:rPr>
          <w:color w:val="44687A"/>
          <w:spacing w:val="-1"/>
        </w:rPr>
        <w:t> </w:t>
      </w:r>
      <w:r>
        <w:rPr>
          <w:color w:val="44687A"/>
        </w:rPr>
        <w:t>in</w:t>
      </w:r>
      <w:r>
        <w:rPr>
          <w:color w:val="44687A"/>
          <w:spacing w:val="-1"/>
        </w:rPr>
        <w:t> </w:t>
      </w:r>
      <w:r>
        <w:rPr>
          <w:color w:val="44687A"/>
        </w:rPr>
        <w:t>contributing to</w:t>
      </w:r>
      <w:r>
        <w:rPr>
          <w:color w:val="44687A"/>
          <w:spacing w:val="-2"/>
        </w:rPr>
        <w:t> </w:t>
      </w:r>
      <w:r>
        <w:rPr>
          <w:color w:val="44687A"/>
        </w:rPr>
        <w:t>outcomes</w:t>
      </w:r>
      <w:r>
        <w:rPr>
          <w:color w:val="44687A"/>
          <w:spacing w:val="1"/>
        </w:rPr>
        <w:t> </w:t>
      </w:r>
      <w:r>
        <w:rPr>
          <w:color w:val="44687A"/>
        </w:rPr>
        <w:t>for</w:t>
      </w:r>
      <w:r>
        <w:rPr>
          <w:color w:val="44687A"/>
          <w:spacing w:val="-2"/>
        </w:rPr>
        <w:t> </w:t>
      </w:r>
      <w:r>
        <w:rPr>
          <w:color w:val="44687A"/>
        </w:rPr>
        <w:t>older</w:t>
      </w:r>
      <w:r>
        <w:rPr>
          <w:color w:val="44687A"/>
          <w:spacing w:val="1"/>
        </w:rPr>
        <w:t> </w:t>
      </w:r>
      <w:r>
        <w:rPr>
          <w:color w:val="44687A"/>
        </w:rPr>
        <w:t>people?</w:t>
      </w:r>
    </w:p>
    <w:p>
      <w:pPr>
        <w:pStyle w:val="BodyText"/>
        <w:spacing w:line="288" w:lineRule="auto" w:before="188"/>
        <w:ind w:left="109" w:right="104" w:firstLine="0"/>
      </w:pPr>
      <w:r>
        <w:rPr>
          <w:color w:val="4C4D4F"/>
        </w:rPr>
        <w:t>Services for older people operate in a complex and rapidly changing environment. Over the last ten</w:t>
      </w:r>
      <w:r>
        <w:rPr>
          <w:color w:val="4C4D4F"/>
          <w:spacing w:val="-59"/>
        </w:rPr>
        <w:t> </w:t>
      </w:r>
      <w:r>
        <w:rPr>
          <w:color w:val="4C4D4F"/>
        </w:rPr>
        <w:t>years, numerous Commonwealth and State inquiries have considered reforms and made needed</w:t>
      </w:r>
      <w:r>
        <w:rPr>
          <w:color w:val="4C4D4F"/>
          <w:spacing w:val="1"/>
        </w:rPr>
        <w:t> </w:t>
      </w:r>
      <w:r>
        <w:rPr>
          <w:color w:val="4C4D4F"/>
        </w:rPr>
        <w:t>changes.</w:t>
      </w:r>
    </w:p>
    <w:p>
      <w:pPr>
        <w:pStyle w:val="BodyText"/>
        <w:spacing w:line="288" w:lineRule="auto" w:before="119"/>
        <w:ind w:left="109" w:right="238" w:firstLine="0"/>
      </w:pPr>
      <w:r>
        <w:rPr>
          <w:color w:val="4C4D4F"/>
        </w:rPr>
        <w:t>Victorian local governments are required to promote the health and wellbeing of all its residents,</w:t>
      </w:r>
      <w:r>
        <w:rPr>
          <w:color w:val="4C4D4F"/>
          <w:spacing w:val="1"/>
        </w:rPr>
        <w:t> </w:t>
      </w:r>
      <w:r>
        <w:rPr>
          <w:color w:val="4C4D4F"/>
        </w:rPr>
        <w:t>including older people. In addition to mandated responsibilities, over the next three years Port</w:t>
      </w:r>
      <w:r>
        <w:rPr>
          <w:color w:val="4C4D4F"/>
          <w:spacing w:val="1"/>
        </w:rPr>
        <w:t> </w:t>
      </w:r>
      <w:r>
        <w:rPr>
          <w:color w:val="4C4D4F"/>
        </w:rPr>
        <w:t>Phillip has the opportunity to make a more substantial contribution to outcomes for older people in</w:t>
      </w:r>
      <w:r>
        <w:rPr>
          <w:color w:val="4C4D4F"/>
          <w:spacing w:val="-59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municipality by: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78" w:lineRule="auto" w:before="122" w:after="0"/>
        <w:ind w:left="829" w:right="114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Co-designing policy that sets out the aspirations and needs of older people in our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municipality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principles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Council’s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should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provide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83" w:lineRule="auto" w:before="130" w:after="0"/>
        <w:ind w:left="829" w:right="58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Supporting opportunities for older people to participate in community life, including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Senior’s Festival and the Older Persons Consultative Network, the seniors register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Linking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Neighbours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Program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programs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address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digital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divide.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83" w:lineRule="auto" w:before="125" w:after="0"/>
        <w:ind w:left="829" w:right="195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home and community care services including the community bus and community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meals that meet the needs of our community and align with changes resulting from federal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aged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reforms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83" w:lineRule="auto" w:before="124" w:after="0"/>
        <w:ind w:left="830" w:right="24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community and recreational facilities and funding for community organisations to</w:t>
      </w:r>
      <w:r>
        <w:rPr>
          <w:color w:val="4C4D4F"/>
          <w:spacing w:val="-60"/>
          <w:sz w:val="22"/>
        </w:rPr>
        <w:t> </w:t>
      </w:r>
      <w:r>
        <w:rPr>
          <w:color w:val="4C4D4F"/>
          <w:sz w:val="22"/>
        </w:rPr>
        <w:t>support the needs of people of all ages and background to socialise, be active,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contribute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life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78" w:lineRule="auto" w:before="122" w:after="0"/>
        <w:ind w:left="830" w:right="61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financial support for people who are asset rich and income poor through rate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payment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plans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pensioner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rebates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76" w:lineRule="auto" w:before="133" w:after="0"/>
        <w:ind w:left="830" w:right="39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Maintaining Rainbow Tick accreditation for home and community care services to ensure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responsive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supportive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needs 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GLBTIQ+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people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76" w:lineRule="auto" w:before="136" w:after="0"/>
        <w:ind w:left="830" w:right="59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Implementing workforce training and create referral pathways to family counselling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mediation,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financial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counselling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those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subjected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elder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abuse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2" w:val="left" w:leader="none"/>
        </w:tabs>
        <w:spacing w:line="276" w:lineRule="auto" w:before="136" w:after="0"/>
        <w:ind w:left="830" w:right="14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Supporting the work of our regional elder abuse prevention network to raise awareness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identify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opportunities.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8"/>
        <w:ind w:left="109" w:right="361" w:firstLine="0"/>
      </w:pPr>
      <w:r>
        <w:rPr>
          <w:color w:val="4C4D4F"/>
        </w:rPr>
        <w:t>In order to facilitate a comprehensive, consistent and whole of community approach to ensuring</w:t>
      </w:r>
      <w:r>
        <w:rPr>
          <w:color w:val="4C4D4F"/>
          <w:spacing w:val="1"/>
        </w:rPr>
        <w:t> </w:t>
      </w:r>
      <w:r>
        <w:rPr>
          <w:color w:val="4C4D4F"/>
        </w:rPr>
        <w:t>equitable outcomes for all older people Council partners with community organizations and other</w:t>
      </w:r>
      <w:r>
        <w:rPr>
          <w:color w:val="4C4D4F"/>
          <w:spacing w:val="-59"/>
        </w:rPr>
        <w:t> </w:t>
      </w:r>
      <w:r>
        <w:rPr>
          <w:color w:val="4C4D4F"/>
        </w:rPr>
        <w:t>levels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government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deliver</w:t>
      </w:r>
      <w:r>
        <w:rPr>
          <w:color w:val="4C4D4F"/>
          <w:spacing w:val="1"/>
        </w:rPr>
        <w:t> </w:t>
      </w:r>
      <w:r>
        <w:rPr>
          <w:color w:val="4C4D4F"/>
        </w:rPr>
        <w:t>community</w:t>
      </w:r>
      <w:r>
        <w:rPr>
          <w:color w:val="4C4D4F"/>
          <w:spacing w:val="-3"/>
        </w:rPr>
        <w:t> </w:t>
      </w:r>
      <w:r>
        <w:rPr>
          <w:color w:val="4C4D4F"/>
        </w:rPr>
        <w:t>interventions.</w:t>
      </w:r>
      <w:r>
        <w:rPr>
          <w:color w:val="4C4D4F"/>
          <w:spacing w:val="1"/>
        </w:rPr>
        <w:t> </w:t>
      </w:r>
      <w:r>
        <w:rPr>
          <w:color w:val="4C4D4F"/>
        </w:rPr>
        <w:t>Some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our</w:t>
      </w:r>
      <w:r>
        <w:rPr>
          <w:color w:val="4C4D4F"/>
          <w:spacing w:val="-1"/>
        </w:rPr>
        <w:t> </w:t>
      </w:r>
      <w:r>
        <w:rPr>
          <w:color w:val="4C4D4F"/>
        </w:rPr>
        <w:t>key</w:t>
      </w:r>
      <w:r>
        <w:rPr>
          <w:color w:val="4C4D4F"/>
          <w:spacing w:val="-2"/>
        </w:rPr>
        <w:t> </w:t>
      </w:r>
      <w:r>
        <w:rPr>
          <w:color w:val="4C4D4F"/>
        </w:rPr>
        <w:t>partners</w:t>
      </w:r>
      <w:r>
        <w:rPr>
          <w:color w:val="4C4D4F"/>
          <w:spacing w:val="-3"/>
        </w:rPr>
        <w:t> </w:t>
      </w:r>
      <w:r>
        <w:rPr>
          <w:color w:val="4C4D4F"/>
        </w:rPr>
        <w:t>include: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23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residential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aged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providers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–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Office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Housing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Commonwealth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Aged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Care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CALD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groups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Elder Abuse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Prevention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Network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Council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Aging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Seniors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Rights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University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Third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Age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-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U3A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Phillip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1" w:val="left" w:leader="none"/>
        </w:tabs>
        <w:spacing w:line="240" w:lineRule="auto" w:before="168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Port Phillip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Life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Activities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Club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2" w:val="left" w:leader="none"/>
        </w:tabs>
        <w:spacing w:line="240" w:lineRule="auto" w:before="167" w:after="0"/>
        <w:ind w:left="831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St Kilda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Probus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2" w:val="left" w:leader="none"/>
        </w:tabs>
        <w:spacing w:line="240" w:lineRule="auto" w:before="167" w:after="0"/>
        <w:ind w:left="831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Port Phillip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Men’s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Shed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Association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  <w:tab w:pos="832" w:val="left" w:leader="none"/>
        </w:tabs>
        <w:spacing w:line="240" w:lineRule="auto" w:before="167" w:after="0"/>
        <w:ind w:left="831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centres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Neighbourhood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Houses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168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2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2"/>
        </w:rPr>
        <w:t> </w:t>
      </w:r>
      <w:r>
        <w:rPr>
          <w:color w:val="44687A"/>
        </w:rPr>
        <w:t>next</w:t>
      </w:r>
      <w:r>
        <w:rPr>
          <w:color w:val="44687A"/>
          <w:spacing w:val="-4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83" w:lineRule="auto" w:before="188" w:after="0"/>
        <w:ind w:left="829" w:right="36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Commonwealth aged care reforms in Victoria, which may include changed funding model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 new accountability requirements will require Council to determine its role in direct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service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delivery and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how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needs of 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most vulnerable are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under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 new</w:t>
      </w:r>
      <w:r>
        <w:rPr>
          <w:color w:val="4C4D4F"/>
          <w:spacing w:val="-21"/>
          <w:sz w:val="22"/>
        </w:rPr>
        <w:t> </w:t>
      </w:r>
      <w:r>
        <w:rPr>
          <w:color w:val="4C4D4F"/>
          <w:sz w:val="22"/>
        </w:rPr>
        <w:t>model.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83" w:lineRule="auto" w:before="127" w:after="0"/>
        <w:ind w:left="829" w:right="23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outcomes of the Royal Commission into Aged Care may give a new focus to the type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quality of service provided to people as they age and/or require assistance to continue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live independently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at home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 the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community.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44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separation of Assessment Services and Direct service will be further embedded in a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new model and this may lead a redefining of Councils role in advocacy and in service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navigation.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48"/>
      </w:pPr>
      <w:r>
        <w:rPr>
          <w:color w:val="44687A"/>
        </w:rPr>
        <w:t>References</w:t>
      </w:r>
    </w:p>
    <w:p>
      <w:pPr>
        <w:spacing w:before="240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Australian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Statistics.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(2016). </w:t>
      </w:r>
      <w:r>
        <w:rPr>
          <w:i/>
          <w:color w:val="4C4D4F"/>
          <w:sz w:val="22"/>
        </w:rPr>
        <w:t>Census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Population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Housing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2011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2016.</w:t>
      </w:r>
    </w:p>
    <w:p>
      <w:pPr>
        <w:pStyle w:val="BodyText"/>
        <w:spacing w:before="52"/>
        <w:ind w:firstLine="0"/>
      </w:pPr>
      <w:r>
        <w:rPr>
          <w:color w:val="4C4D4F"/>
        </w:rPr>
        <w:t>Australian</w:t>
      </w:r>
      <w:r>
        <w:rPr>
          <w:color w:val="4C4D4F"/>
          <w:spacing w:val="-2"/>
        </w:rPr>
        <w:t> </w:t>
      </w:r>
      <w:r>
        <w:rPr>
          <w:color w:val="4C4D4F"/>
        </w:rPr>
        <w:t>Bureau</w:t>
      </w:r>
      <w:r>
        <w:rPr>
          <w:color w:val="4C4D4F"/>
          <w:spacing w:val="-4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Statistics;</w:t>
      </w:r>
      <w:r>
        <w:rPr>
          <w:color w:val="4C4D4F"/>
          <w:spacing w:val="-2"/>
        </w:rPr>
        <w:t> </w:t>
      </w:r>
      <w:r>
        <w:rPr>
          <w:color w:val="4C4D4F"/>
        </w:rPr>
        <w:t>compiled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presented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profile</w:t>
      </w:r>
      <w:r>
        <w:rPr>
          <w:color w:val="4C4D4F"/>
          <w:spacing w:val="-2"/>
        </w:rPr>
        <w:t> </w:t>
      </w:r>
      <w:r>
        <w:rPr>
          <w:color w:val="4C4D4F"/>
        </w:rPr>
        <w:t>by</w:t>
      </w:r>
      <w:r>
        <w:rPr>
          <w:color w:val="4C4D4F"/>
          <w:spacing w:val="-4"/>
        </w:rPr>
        <w:t> </w:t>
      </w:r>
      <w:r>
        <w:rPr>
          <w:color w:val="4C4D4F"/>
        </w:rPr>
        <w:t>.id</w:t>
      </w:r>
      <w:r>
        <w:rPr>
          <w:color w:val="4C4D4F"/>
          <w:spacing w:val="-4"/>
        </w:rPr>
        <w:t> </w:t>
      </w:r>
      <w:r>
        <w:rPr>
          <w:color w:val="4C4D4F"/>
        </w:rPr>
        <w:t>(informed</w:t>
      </w:r>
      <w:r>
        <w:rPr>
          <w:color w:val="4C4D4F"/>
          <w:spacing w:val="-4"/>
        </w:rPr>
        <w:t> </w:t>
      </w:r>
      <w:r>
        <w:rPr>
          <w:color w:val="4C4D4F"/>
        </w:rPr>
        <w:t>decision).</w:t>
      </w:r>
    </w:p>
    <w:p>
      <w:pPr>
        <w:spacing w:line="288" w:lineRule="auto" w:before="170"/>
        <w:ind w:left="829" w:right="130" w:hanging="721"/>
        <w:jc w:val="left"/>
        <w:rPr>
          <w:sz w:val="22"/>
        </w:rPr>
      </w:pPr>
      <w:r>
        <w:rPr>
          <w:color w:val="4C4D4F"/>
          <w:sz w:val="22"/>
        </w:rPr>
        <w:t>Australian Institute of Health and Welfare. (2018). </w:t>
      </w:r>
      <w:r>
        <w:rPr>
          <w:i/>
          <w:color w:val="4C4D4F"/>
          <w:sz w:val="22"/>
        </w:rPr>
        <w:t>Older Australia at a glance. </w:t>
      </w:r>
      <w:r>
        <w:rPr>
          <w:color w:val="4C4D4F"/>
          <w:sz w:val="22"/>
        </w:rPr>
        <w:t>Melbourne: Victorian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Government.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spacing w:before="145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City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 Phillip. (2020).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City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Port Phillip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Annual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Report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2019/20.</w:t>
      </w:r>
      <w:r>
        <w:rPr>
          <w:i/>
          <w:color w:val="4C4D4F"/>
          <w:spacing w:val="-2"/>
          <w:sz w:val="22"/>
        </w:rPr>
        <w:t> </w:t>
      </w:r>
      <w:r>
        <w:rPr>
          <w:color w:val="4C4D4F"/>
          <w:sz w:val="22"/>
        </w:rPr>
        <w:t>City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 Phillip.</w:t>
      </w:r>
    </w:p>
    <w:p>
      <w:pPr>
        <w:pStyle w:val="BodyText"/>
        <w:spacing w:line="288" w:lineRule="auto" w:before="52"/>
        <w:ind w:right="265" w:firstLine="0"/>
      </w:pPr>
      <w:r>
        <w:rPr>
          <w:color w:val="4C4D4F"/>
        </w:rPr>
        <w:t>Retrieved 1 6, 2021, from https://</w:t>
      </w:r>
      <w:hyperlink r:id="rId7">
        <w:r>
          <w:rPr>
            <w:color w:val="4C4D4F"/>
          </w:rPr>
          <w:t>www.portphillip.vic.gov.au/about-the-council/governance-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performance-and-advocacy/annual-report</w:t>
      </w:r>
    </w:p>
    <w:p>
      <w:pPr>
        <w:pStyle w:val="BodyText"/>
        <w:spacing w:line="288" w:lineRule="auto" w:before="118"/>
        <w:ind w:right="155" w:hanging="721"/>
      </w:pPr>
      <w:r>
        <w:rPr>
          <w:color w:val="4C4D4F"/>
        </w:rPr>
        <w:t>Department of Health and Human Services. (2019). </w:t>
      </w:r>
      <w:r>
        <w:rPr>
          <w:i/>
          <w:color w:val="4C4D4F"/>
        </w:rPr>
        <w:t>Ageing</w:t>
      </w:r>
      <w:r>
        <w:rPr>
          <w:color w:val="4C4D4F"/>
        </w:rPr>
        <w:t>. (Victorian Government) Retrieved 1 6,</w:t>
      </w:r>
      <w:r>
        <w:rPr>
          <w:color w:val="4C4D4F"/>
          <w:spacing w:val="-59"/>
        </w:rPr>
        <w:t> </w:t>
      </w:r>
      <w:r>
        <w:rPr>
          <w:color w:val="4C4D4F"/>
        </w:rPr>
        <w:t>2021,</w:t>
      </w:r>
      <w:r>
        <w:rPr>
          <w:color w:val="4C4D4F"/>
          <w:spacing w:val="-1"/>
        </w:rPr>
        <w:t> </w:t>
      </w:r>
      <w:r>
        <w:rPr>
          <w:color w:val="4C4D4F"/>
        </w:rPr>
        <w:t>from</w:t>
      </w:r>
      <w:r>
        <w:rPr>
          <w:color w:val="4C4D4F"/>
          <w:spacing w:val="2"/>
        </w:rPr>
        <w:t> </w:t>
      </w:r>
      <w:r>
        <w:rPr>
          <w:color w:val="4C4D4F"/>
        </w:rPr>
        <w:t>https://</w:t>
      </w:r>
      <w:hyperlink r:id="rId8">
        <w:r>
          <w:rPr>
            <w:color w:val="4C4D4F"/>
          </w:rPr>
          <w:t>www.dhhs.vic.gov.au/ageing</w:t>
        </w:r>
      </w:hyperlink>
    </w:p>
    <w:p>
      <w:pPr>
        <w:spacing w:line="288" w:lineRule="auto" w:before="120"/>
        <w:ind w:left="829" w:right="492" w:hanging="721"/>
        <w:jc w:val="left"/>
        <w:rPr>
          <w:sz w:val="22"/>
        </w:rPr>
      </w:pPr>
      <w:r>
        <w:rPr>
          <w:color w:val="4C4D4F"/>
          <w:sz w:val="22"/>
        </w:rPr>
        <w:t>Gerard Mansour, Commissioner for Senior Victorians. (2016). </w:t>
      </w:r>
      <w:r>
        <w:rPr>
          <w:i/>
          <w:color w:val="4C4D4F"/>
          <w:sz w:val="22"/>
        </w:rPr>
        <w:t>Ageing is everyone's business: a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report on isolation and loneliness among senior Victorians. </w:t>
      </w:r>
      <w:r>
        <w:rPr>
          <w:color w:val="4C4D4F"/>
          <w:sz w:val="22"/>
        </w:rPr>
        <w:t>Melbourne: Department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Human Services.</w:t>
      </w:r>
    </w:p>
    <w:p>
      <w:pPr>
        <w:spacing w:before="118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NATSEM,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University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Canberra.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(2016).</w:t>
      </w:r>
      <w:r>
        <w:rPr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2017</w:t>
      </w:r>
      <w:r>
        <w:rPr>
          <w:i/>
          <w:color w:val="4C4D4F"/>
          <w:spacing w:val="-6"/>
          <w:sz w:val="22"/>
        </w:rPr>
        <w:t> </w:t>
      </w:r>
      <w:r>
        <w:rPr>
          <w:i/>
          <w:color w:val="4C4D4F"/>
          <w:sz w:val="22"/>
        </w:rPr>
        <w:t>dementia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prevelance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by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local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government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area.</w:t>
      </w:r>
    </w:p>
    <w:p>
      <w:pPr>
        <w:pStyle w:val="BodyText"/>
        <w:spacing w:line="288" w:lineRule="auto" w:before="55"/>
        <w:ind w:right="326" w:firstLine="0"/>
      </w:pPr>
      <w:r>
        <w:rPr>
          <w:color w:val="4C4D4F"/>
        </w:rPr>
        <w:t>Alzheimer's Australia Victoria. Retrieved 1 6, 2020, from</w:t>
      </w:r>
      <w:r>
        <w:rPr>
          <w:color w:val="4C4D4F"/>
          <w:spacing w:val="1"/>
        </w:rPr>
        <w:t> </w:t>
      </w:r>
      <w:r>
        <w:rPr>
          <w:color w:val="4C4D4F"/>
        </w:rPr>
        <w:t>https://</w:t>
      </w:r>
      <w:hyperlink r:id="rId9">
        <w:r>
          <w:rPr>
            <w:color w:val="4C4D4F"/>
          </w:rPr>
          <w:t>www.dementia.org.au/sites/default/files/VIC/documents/2017 </w:t>
        </w:r>
      </w:hyperlink>
      <w:r>
        <w:rPr>
          <w:color w:val="4C4D4F"/>
        </w:rPr>
        <w:t>dementia prevalence</w:t>
      </w:r>
      <w:r>
        <w:rPr>
          <w:color w:val="4C4D4F"/>
          <w:spacing w:val="-59"/>
        </w:rPr>
        <w:t> </w:t>
      </w:r>
      <w:r>
        <w:rPr>
          <w:color w:val="4C4D4F"/>
        </w:rPr>
        <w:t>by</w:t>
      </w:r>
      <w:r>
        <w:rPr>
          <w:color w:val="4C4D4F"/>
          <w:spacing w:val="-1"/>
        </w:rPr>
        <w:t> </w:t>
      </w:r>
      <w:r>
        <w:rPr>
          <w:color w:val="4C4D4F"/>
        </w:rPr>
        <w:t>LGA.pdf</w:t>
      </w:r>
    </w:p>
    <w:p>
      <w:pPr>
        <w:spacing w:line="288" w:lineRule="auto" w:before="118"/>
        <w:ind w:left="829" w:right="571" w:hanging="721"/>
        <w:jc w:val="left"/>
        <w:rPr>
          <w:sz w:val="22"/>
        </w:rPr>
      </w:pPr>
      <w:r>
        <w:rPr>
          <w:color w:val="4C4D4F"/>
          <w:sz w:val="22"/>
        </w:rPr>
        <w:t>State of Victoria . (2017). </w:t>
      </w:r>
      <w:r>
        <w:rPr>
          <w:i/>
          <w:color w:val="4C4D4F"/>
          <w:sz w:val="22"/>
        </w:rPr>
        <w:t>Free from violence: Victoria’s strategy to prevent family. </w:t>
      </w:r>
      <w:r>
        <w:rPr>
          <w:color w:val="4C4D4F"/>
          <w:sz w:val="22"/>
        </w:rPr>
        <w:t>Publication 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Department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Premier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 Cabinet,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448pt;width:241pt;height:14.3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Older</w:t>
                </w:r>
                <w:r>
                  <w:rPr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People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Phillip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226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portphillip.vic.gov.au/about-the-council/governance-" TargetMode="External"/><Relationship Id="rId8" Type="http://schemas.openxmlformats.org/officeDocument/2006/relationships/hyperlink" Target="http://www.dhhs.vic.gov.au/ageing" TargetMode="External"/><Relationship Id="rId9" Type="http://schemas.openxmlformats.org/officeDocument/2006/relationships/hyperlink" Target="http://www.dementia.org.au/sites/default/files/VIC/documents/2017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2021-02-16T06:10:19Z</dcterms:created>
  <dcterms:modified xsi:type="dcterms:W3CDTF">2021-02-16T06:10:19Z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