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  <w:r>
        <w:rPr/>
        <w:pict>
          <v:group style="position:absolute;margin-left:0pt;margin-top:.02pt;width:595.2pt;height:302.650pt;mso-position-horizontal-relative:page;mso-position-vertical-relative:page;z-index:-15831040" coordorigin="0,0" coordsize="11904,6053">
            <v:shape style="position:absolute;left:0;top:0;width:11904;height:1981" type="#_x0000_t75" stroked="false">
              <v:imagedata r:id="rId5" o:title=""/>
            </v:shape>
            <v:shape style="position:absolute;left:12;top:0;width:11859;height:1947" type="#_x0000_t75" stroked="false">
              <v:imagedata r:id="rId6" o:title=""/>
            </v:shape>
            <v:shape style="position:absolute;left:1145;top:1353;width:1647;height:205" type="#_x0000_t75" stroked="false">
              <v:imagedata r:id="rId7" o:title=""/>
            </v:shape>
            <v:shape style="position:absolute;left:2867;top:1439;width:60;height:31" type="#_x0000_t75" stroked="false">
              <v:imagedata r:id="rId8" o:title=""/>
            </v:shape>
            <v:shape style="position:absolute;left:3000;top:1350;width:3209;height:208" type="#_x0000_t75" stroked="false">
              <v:imagedata r:id="rId9" o:title=""/>
            </v:shape>
            <v:rect style="position:absolute;left:11869;top:1949;width:34;height:4104" filled="true" fillcolor="#e1e2e3" stroked="false">
              <v:fill type="solid"/>
            </v:rect>
            <v:rect style="position:absolute;left:0;top:1950;width:11870;height:4102" filled="true" fillcolor="#eeefef" stroked="false">
              <v:fill type="solid"/>
            </v:rect>
            <w10:wrap type="none"/>
          </v:group>
        </w:pict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4"/>
        <w:ind w:left="0"/>
        <w:rPr>
          <w:rFonts w:ascii="Times New Roman"/>
          <w:sz w:val="25"/>
        </w:rPr>
      </w:pPr>
    </w:p>
    <w:p>
      <w:pPr>
        <w:tabs>
          <w:tab w:pos="2655" w:val="left" w:leader="none"/>
        </w:tabs>
        <w:spacing w:before="94"/>
        <w:ind w:left="1273" w:right="0" w:firstLine="0"/>
        <w:jc w:val="left"/>
        <w:rPr>
          <w:sz w:val="22"/>
        </w:rPr>
      </w:pPr>
      <w:r>
        <w:rPr>
          <w:b/>
          <w:color w:val="22A2B3"/>
          <w:sz w:val="22"/>
        </w:rPr>
        <w:t>enc</w:t>
        <w:tab/>
      </w:r>
      <w:r>
        <w:rPr>
          <w:color w:val="18A2B5"/>
          <w:sz w:val="22"/>
        </w:rPr>
        <w:t>P</w:t>
      </w:r>
      <w:r>
        <w:rPr>
          <w:color w:val="1CA5B8"/>
          <w:sz w:val="22"/>
        </w:rPr>
        <w:t>ort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4"/>
        </w:rPr>
      </w:pPr>
    </w:p>
    <w:p>
      <w:pPr>
        <w:pStyle w:val="Title"/>
      </w:pPr>
      <w:r>
        <w:rPr>
          <w:color w:val="4B8594"/>
        </w:rPr>
        <w:t>Community</w:t>
      </w:r>
      <w:r>
        <w:rPr>
          <w:color w:val="4B8594"/>
          <w:spacing w:val="-3"/>
        </w:rPr>
        <w:t> </w:t>
      </w:r>
      <w:r>
        <w:rPr>
          <w:color w:val="4B8594"/>
        </w:rPr>
        <w:t>Safety</w:t>
      </w:r>
    </w:p>
    <w:p>
      <w:pPr>
        <w:pStyle w:val="Heading1"/>
        <w:spacing w:before="240"/>
      </w:pPr>
      <w:r>
        <w:rPr>
          <w:color w:val="44687A"/>
        </w:rPr>
        <w:t>City of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4"/>
        </w:rPr>
        <w:t> </w:t>
      </w:r>
      <w:r>
        <w:rPr>
          <w:color w:val="44687A"/>
        </w:rPr>
        <w:t>Health</w:t>
      </w:r>
      <w:r>
        <w:rPr>
          <w:color w:val="44687A"/>
          <w:spacing w:val="1"/>
        </w:rPr>
        <w:t> </w:t>
      </w:r>
      <w:r>
        <w:rPr>
          <w:color w:val="44687A"/>
        </w:rPr>
        <w:t>Profiles</w:t>
      </w:r>
    </w:p>
    <w:p>
      <w:pPr>
        <w:pStyle w:val="BodyText"/>
        <w:spacing w:before="9"/>
        <w:ind w:left="0"/>
        <w:rPr>
          <w:sz w:val="33"/>
        </w:rPr>
      </w:pPr>
    </w:p>
    <w:p>
      <w:pPr>
        <w:spacing w:line="288" w:lineRule="auto" w:before="0"/>
        <w:ind w:left="109" w:right="107" w:firstLine="0"/>
        <w:jc w:val="left"/>
        <w:rPr>
          <w:sz w:val="28"/>
        </w:rPr>
      </w:pPr>
      <w:r>
        <w:rPr>
          <w:color w:val="4C4D4F"/>
          <w:sz w:val="28"/>
        </w:rPr>
        <w:t>Safety and security are important determinants of peoples’ health and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wellbeing. Overall, Port Phillip residents have a sense of safety and security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that is comparable with the Victorian average. However, criminal incidents are</w:t>
      </w:r>
      <w:r>
        <w:rPr>
          <w:color w:val="4C4D4F"/>
          <w:spacing w:val="-75"/>
          <w:sz w:val="28"/>
        </w:rPr>
        <w:t> </w:t>
      </w:r>
      <w:r>
        <w:rPr>
          <w:color w:val="4C4D4F"/>
          <w:sz w:val="28"/>
        </w:rPr>
        <w:t>persistently more common in Port Phillip than Victoria overall. No one</w:t>
      </w:r>
      <w:r>
        <w:rPr>
          <w:color w:val="4C4D4F"/>
          <w:spacing w:val="1"/>
          <w:sz w:val="28"/>
        </w:rPr>
        <w:t> </w:t>
      </w:r>
      <w:r>
        <w:rPr>
          <w:color w:val="4C4D4F"/>
          <w:sz w:val="28"/>
        </w:rPr>
        <w:t>organisation</w:t>
      </w:r>
      <w:r>
        <w:rPr>
          <w:color w:val="4C4D4F"/>
          <w:spacing w:val="-5"/>
          <w:sz w:val="28"/>
        </w:rPr>
        <w:t> </w:t>
      </w:r>
      <w:r>
        <w:rPr>
          <w:color w:val="4C4D4F"/>
          <w:sz w:val="28"/>
        </w:rPr>
        <w:t>can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solve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complex</w:t>
      </w:r>
      <w:r>
        <w:rPr>
          <w:color w:val="4C4D4F"/>
          <w:spacing w:val="-1"/>
          <w:sz w:val="28"/>
        </w:rPr>
        <w:t> </w:t>
      </w:r>
      <w:r>
        <w:rPr>
          <w:color w:val="4C4D4F"/>
          <w:sz w:val="28"/>
        </w:rPr>
        <w:t>safety issues in</w:t>
      </w:r>
      <w:r>
        <w:rPr>
          <w:color w:val="4C4D4F"/>
          <w:spacing w:val="-3"/>
          <w:sz w:val="28"/>
        </w:rPr>
        <w:t> </w:t>
      </w:r>
      <w:r>
        <w:rPr>
          <w:color w:val="4C4D4F"/>
          <w:sz w:val="28"/>
        </w:rPr>
        <w:t>isolation.</w:t>
      </w:r>
    </w:p>
    <w:p>
      <w:pPr>
        <w:pStyle w:val="BodyText"/>
        <w:spacing w:before="11"/>
        <w:ind w:left="0"/>
        <w:rPr>
          <w:sz w:val="36"/>
        </w:rPr>
      </w:pPr>
    </w:p>
    <w:p>
      <w:pPr>
        <w:pStyle w:val="Heading1"/>
      </w:pPr>
      <w:r>
        <w:rPr>
          <w:color w:val="44687A"/>
        </w:rPr>
        <w:t>What is</w:t>
      </w:r>
      <w:r>
        <w:rPr>
          <w:color w:val="44687A"/>
          <w:spacing w:val="-2"/>
        </w:rPr>
        <w:t> </w:t>
      </w:r>
      <w:r>
        <w:rPr>
          <w:color w:val="44687A"/>
        </w:rPr>
        <w:t>community</w:t>
      </w:r>
      <w:r>
        <w:rPr>
          <w:color w:val="44687A"/>
          <w:spacing w:val="-2"/>
        </w:rPr>
        <w:t> </w:t>
      </w:r>
      <w:r>
        <w:rPr>
          <w:color w:val="44687A"/>
        </w:rPr>
        <w:t>safety?</w:t>
      </w:r>
    </w:p>
    <w:p>
      <w:pPr>
        <w:spacing w:before="243"/>
        <w:ind w:left="140" w:right="145" w:firstLine="2"/>
        <w:jc w:val="center"/>
        <w:rPr>
          <w:i/>
          <w:sz w:val="22"/>
        </w:rPr>
      </w:pPr>
      <w:r>
        <w:rPr>
          <w:i/>
          <w:color w:val="4C4D4F"/>
          <w:sz w:val="22"/>
        </w:rPr>
        <w:t>“A safe community is one in which all sectors of the community work together in a coordinated and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collaborative way, forming partnerships to promote safety, manage risk, increase the overall safety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its</w:t>
      </w:r>
      <w:r>
        <w:rPr>
          <w:i/>
          <w:color w:val="4C4D4F"/>
          <w:spacing w:val="-5"/>
          <w:sz w:val="22"/>
        </w:rPr>
        <w:t> </w:t>
      </w:r>
      <w:r>
        <w:rPr>
          <w:i/>
          <w:color w:val="4C4D4F"/>
          <w:sz w:val="22"/>
        </w:rPr>
        <w:t>members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reduce the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fear</w:t>
      </w:r>
      <w:r>
        <w:rPr>
          <w:i/>
          <w:color w:val="4C4D4F"/>
          <w:spacing w:val="2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2"/>
          <w:sz w:val="22"/>
        </w:rPr>
        <w:t> </w:t>
      </w:r>
      <w:r>
        <w:rPr>
          <w:i/>
          <w:color w:val="4C4D4F"/>
          <w:sz w:val="22"/>
        </w:rPr>
        <w:t>harm.”</w:t>
      </w:r>
    </w:p>
    <w:p>
      <w:pPr>
        <w:pStyle w:val="BodyText"/>
        <w:spacing w:before="40"/>
        <w:ind w:left="4932" w:right="100"/>
        <w:jc w:val="center"/>
        <w:rPr>
          <w:i/>
        </w:rPr>
      </w:pPr>
      <w:r>
        <w:rPr>
          <w:i/>
          <w:color w:val="4C4D4F"/>
        </w:rPr>
        <w:t>- </w:t>
      </w:r>
      <w:r>
        <w:rPr>
          <w:color w:val="4C4D4F"/>
        </w:rPr>
        <w:t>Australian</w:t>
      </w:r>
      <w:r>
        <w:rPr>
          <w:color w:val="4C4D4F"/>
          <w:spacing w:val="-2"/>
        </w:rPr>
        <w:t> </w:t>
      </w:r>
      <w:r>
        <w:rPr>
          <w:color w:val="4C4D4F"/>
        </w:rPr>
        <w:t>Safe</w:t>
      </w:r>
      <w:r>
        <w:rPr>
          <w:color w:val="4C4D4F"/>
          <w:spacing w:val="-4"/>
        </w:rPr>
        <w:t> </w:t>
      </w:r>
      <w:r>
        <w:rPr>
          <w:color w:val="4C4D4F"/>
        </w:rPr>
        <w:t>Communities</w:t>
      </w:r>
      <w:r>
        <w:rPr>
          <w:color w:val="4C4D4F"/>
          <w:spacing w:val="-1"/>
        </w:rPr>
        <w:t> </w:t>
      </w:r>
      <w:r>
        <w:rPr>
          <w:color w:val="4C4D4F"/>
        </w:rPr>
        <w:t>Foundation,</w:t>
      </w:r>
      <w:r>
        <w:rPr>
          <w:color w:val="4C4D4F"/>
          <w:spacing w:val="-2"/>
        </w:rPr>
        <w:t> </w:t>
      </w:r>
      <w:r>
        <w:rPr>
          <w:color w:val="4C4D4F"/>
        </w:rPr>
        <w:t>2013</w:t>
      </w:r>
      <w:r>
        <w:rPr>
          <w:i/>
          <w:color w:val="4C4D4F"/>
        </w:rPr>
        <w:t>.</w:t>
      </w:r>
    </w:p>
    <w:p>
      <w:pPr>
        <w:pStyle w:val="BodyText"/>
        <w:spacing w:before="7"/>
        <w:ind w:left="0"/>
        <w:rPr>
          <w:i/>
          <w:sz w:val="27"/>
        </w:rPr>
      </w:pPr>
    </w:p>
    <w:p>
      <w:pPr>
        <w:pStyle w:val="Heading1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do</w:t>
      </w:r>
      <w:r>
        <w:rPr>
          <w:color w:val="44687A"/>
          <w:spacing w:val="-5"/>
        </w:rPr>
        <w:t> </w:t>
      </w:r>
      <w:r>
        <w:rPr>
          <w:color w:val="44687A"/>
        </w:rPr>
        <w:t>community</w:t>
      </w:r>
      <w:r>
        <w:rPr>
          <w:color w:val="44687A"/>
          <w:spacing w:val="-2"/>
        </w:rPr>
        <w:t> </w:t>
      </w:r>
      <w:r>
        <w:rPr>
          <w:color w:val="44687A"/>
        </w:rPr>
        <w:t>safety</w:t>
      </w:r>
      <w:r>
        <w:rPr>
          <w:color w:val="44687A"/>
          <w:spacing w:val="-2"/>
        </w:rPr>
        <w:t> </w:t>
      </w:r>
      <w:r>
        <w:rPr>
          <w:color w:val="44687A"/>
        </w:rPr>
        <w:t>issues</w:t>
      </w:r>
      <w:r>
        <w:rPr>
          <w:color w:val="44687A"/>
          <w:spacing w:val="-1"/>
        </w:rPr>
        <w:t> </w:t>
      </w:r>
      <w:r>
        <w:rPr>
          <w:color w:val="44687A"/>
        </w:rPr>
        <w:t>affect</w:t>
      </w:r>
      <w:r>
        <w:rPr>
          <w:color w:val="44687A"/>
          <w:spacing w:val="-2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Port Phillip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Heading2"/>
        <w:numPr>
          <w:ilvl w:val="0"/>
          <w:numId w:val="1"/>
        </w:numPr>
        <w:tabs>
          <w:tab w:pos="357" w:val="left" w:leader="none"/>
        </w:tabs>
        <w:spacing w:line="240" w:lineRule="auto" w:before="246" w:after="0"/>
        <w:ind w:left="356" w:right="0" w:hanging="250"/>
        <w:jc w:val="left"/>
        <w:rPr>
          <w:i/>
        </w:rPr>
      </w:pPr>
      <w:r>
        <w:rPr>
          <w:i/>
          <w:color w:val="4C4D4F"/>
        </w:rPr>
        <w:t>Views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on safety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within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Port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Phillip</w:t>
      </w:r>
    </w:p>
    <w:p>
      <w:pPr>
        <w:pStyle w:val="BodyText"/>
        <w:spacing w:line="288" w:lineRule="auto" w:before="169"/>
        <w:ind w:left="109" w:right="459"/>
      </w:pPr>
      <w:r>
        <w:rPr>
          <w:color w:val="4C4D4F"/>
        </w:rPr>
        <w:t>Council’s annual community survey indicates that residents have an overall sense of safety and</w:t>
      </w:r>
      <w:r>
        <w:rPr>
          <w:color w:val="4C4D4F"/>
          <w:spacing w:val="-59"/>
        </w:rPr>
        <w:t> </w:t>
      </w:r>
      <w:r>
        <w:rPr>
          <w:color w:val="4C4D4F"/>
        </w:rPr>
        <w:t>security</w:t>
      </w:r>
      <w:r>
        <w:rPr>
          <w:color w:val="4C4D4F"/>
          <w:spacing w:val="-2"/>
        </w:rPr>
        <w:t> </w:t>
      </w:r>
      <w:r>
        <w:rPr>
          <w:color w:val="4C4D4F"/>
        </w:rPr>
        <w:t>however</w:t>
      </w:r>
      <w:r>
        <w:rPr>
          <w:color w:val="4C4D4F"/>
          <w:spacing w:val="-1"/>
        </w:rPr>
        <w:t> </w:t>
      </w:r>
      <w:r>
        <w:rPr>
          <w:color w:val="4C4D4F"/>
        </w:rPr>
        <w:t>public</w:t>
      </w:r>
      <w:r>
        <w:rPr>
          <w:color w:val="4C4D4F"/>
          <w:spacing w:val="-3"/>
        </w:rPr>
        <w:t> </w:t>
      </w:r>
      <w:r>
        <w:rPr>
          <w:color w:val="4C4D4F"/>
        </w:rPr>
        <w:t>safety</w:t>
      </w:r>
      <w:r>
        <w:rPr>
          <w:color w:val="4C4D4F"/>
          <w:spacing w:val="-2"/>
        </w:rPr>
        <w:t> </w:t>
      </w:r>
      <w:r>
        <w:rPr>
          <w:color w:val="4C4D4F"/>
        </w:rPr>
        <w:t>improvement</w:t>
      </w:r>
      <w:r>
        <w:rPr>
          <w:color w:val="4C4D4F"/>
          <w:spacing w:val="2"/>
        </w:rPr>
        <w:t> </w:t>
      </w:r>
      <w:r>
        <w:rPr>
          <w:color w:val="4C4D4F"/>
        </w:rPr>
        <w:t>is required</w:t>
      </w:r>
      <w:r>
        <w:rPr>
          <w:color w:val="4C4D4F"/>
          <w:spacing w:val="-1"/>
        </w:rPr>
        <w:t> </w:t>
      </w:r>
      <w:r>
        <w:rPr>
          <w:color w:val="4C4D4F"/>
        </w:rPr>
        <w:t>(City</w:t>
      </w:r>
      <w:r>
        <w:rPr>
          <w:color w:val="4C4D4F"/>
          <w:spacing w:val="-2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Port</w:t>
      </w:r>
      <w:r>
        <w:rPr>
          <w:color w:val="4C4D4F"/>
          <w:spacing w:val="1"/>
        </w:rPr>
        <w:t> </w:t>
      </w:r>
      <w:r>
        <w:rPr>
          <w:color w:val="4C4D4F"/>
        </w:rPr>
        <w:t>Phillip,</w:t>
      </w:r>
      <w:r>
        <w:rPr>
          <w:color w:val="4C4D4F"/>
          <w:spacing w:val="1"/>
        </w:rPr>
        <w:t> </w:t>
      </w:r>
      <w:r>
        <w:rPr>
          <w:color w:val="4C4D4F"/>
        </w:rPr>
        <w:t>2020).</w:t>
      </w:r>
    </w:p>
    <w:p>
      <w:pPr>
        <w:pStyle w:val="BodyText"/>
        <w:spacing w:line="288" w:lineRule="auto" w:before="118"/>
        <w:ind w:left="109" w:right="226"/>
      </w:pPr>
      <w:r>
        <w:rPr>
          <w:color w:val="4C4D4F"/>
        </w:rPr>
        <w:t>A Victoria-wide survey undertaken in 2015 indicated that the proportion of Port Phillip residents</w:t>
      </w:r>
      <w:r>
        <w:rPr>
          <w:color w:val="4C4D4F"/>
          <w:spacing w:val="1"/>
        </w:rPr>
        <w:t> </w:t>
      </w:r>
      <w:r>
        <w:rPr>
          <w:color w:val="4C4D4F"/>
        </w:rPr>
        <w:t>who felt safe walking alone during the day was consistent with the state average and that a higher</w:t>
      </w:r>
      <w:r>
        <w:rPr>
          <w:color w:val="4C4D4F"/>
          <w:spacing w:val="-59"/>
        </w:rPr>
        <w:t> </w:t>
      </w:r>
      <w:r>
        <w:rPr>
          <w:color w:val="4C4D4F"/>
        </w:rPr>
        <w:t>proportion</w:t>
      </w:r>
      <w:r>
        <w:rPr>
          <w:color w:val="4C4D4F"/>
          <w:spacing w:val="-1"/>
        </w:rPr>
        <w:t> </w:t>
      </w:r>
      <w:r>
        <w:rPr>
          <w:color w:val="4C4D4F"/>
        </w:rPr>
        <w:t>felt safe</w:t>
      </w:r>
      <w:r>
        <w:rPr>
          <w:color w:val="4C4D4F"/>
          <w:spacing w:val="-1"/>
        </w:rPr>
        <w:t> </w:t>
      </w:r>
      <w:r>
        <w:rPr>
          <w:color w:val="4C4D4F"/>
        </w:rPr>
        <w:t>walking alone in</w:t>
      </w:r>
      <w:r>
        <w:rPr>
          <w:color w:val="4C4D4F"/>
          <w:spacing w:val="-1"/>
        </w:rPr>
        <w:t> </w:t>
      </w:r>
      <w:r>
        <w:rPr>
          <w:color w:val="4C4D4F"/>
        </w:rPr>
        <w:t>their</w:t>
      </w:r>
      <w:r>
        <w:rPr>
          <w:color w:val="4C4D4F"/>
          <w:spacing w:val="2"/>
        </w:rPr>
        <w:t> </w:t>
      </w:r>
      <w:r>
        <w:rPr>
          <w:color w:val="4C4D4F"/>
        </w:rPr>
        <w:t>local area</w:t>
      </w:r>
      <w:r>
        <w:rPr>
          <w:color w:val="4C4D4F"/>
          <w:spacing w:val="-1"/>
        </w:rPr>
        <w:t> </w:t>
      </w:r>
      <w:r>
        <w:rPr>
          <w:color w:val="4C4D4F"/>
        </w:rPr>
        <w:t>after dark.</w:t>
      </w:r>
    </w:p>
    <w:p>
      <w:pPr>
        <w:pStyle w:val="BodyText"/>
        <w:spacing w:line="288" w:lineRule="auto" w:before="121"/>
        <w:ind w:left="109" w:right="460"/>
      </w:pPr>
      <w:r>
        <w:rPr>
          <w:color w:val="4C4D4F"/>
        </w:rPr>
        <w:t>To inform priorities and actions to be contained within the current City of Port Phillip Community</w:t>
      </w:r>
      <w:r>
        <w:rPr>
          <w:color w:val="4C4D4F"/>
          <w:spacing w:val="-59"/>
        </w:rPr>
        <w:t> </w:t>
      </w:r>
      <w:r>
        <w:rPr>
          <w:color w:val="4C4D4F"/>
        </w:rPr>
        <w:t>Safety Plan, consultation took place in 2019 with over 140 local organisations to identify their</w:t>
      </w:r>
      <w:r>
        <w:rPr>
          <w:color w:val="4C4D4F"/>
          <w:spacing w:val="1"/>
        </w:rPr>
        <w:t> </w:t>
      </w:r>
      <w:r>
        <w:rPr>
          <w:color w:val="4C4D4F"/>
        </w:rPr>
        <w:t>community safety</w:t>
      </w:r>
      <w:r>
        <w:rPr>
          <w:color w:val="4C4D4F"/>
          <w:spacing w:val="1"/>
        </w:rPr>
        <w:t> </w:t>
      </w:r>
      <w:r>
        <w:rPr>
          <w:color w:val="4C4D4F"/>
        </w:rPr>
        <w:t>concerns.</w:t>
      </w:r>
      <w:r>
        <w:rPr>
          <w:color w:val="4C4D4F"/>
          <w:spacing w:val="2"/>
        </w:rPr>
        <w:t> </w:t>
      </w:r>
      <w:r>
        <w:rPr>
          <w:color w:val="4C4D4F"/>
        </w:rPr>
        <w:t>Council</w:t>
      </w:r>
      <w:r>
        <w:rPr>
          <w:color w:val="4C4D4F"/>
          <w:spacing w:val="-1"/>
        </w:rPr>
        <w:t> </w:t>
      </w:r>
      <w:r>
        <w:rPr>
          <w:color w:val="4C4D4F"/>
        </w:rPr>
        <w:t>was</w:t>
      </w:r>
      <w:r>
        <w:rPr>
          <w:color w:val="4C4D4F"/>
          <w:spacing w:val="-2"/>
        </w:rPr>
        <w:t> </w:t>
      </w:r>
      <w:r>
        <w:rPr>
          <w:color w:val="4C4D4F"/>
        </w:rPr>
        <w:t>advised</w:t>
      </w:r>
      <w:r>
        <w:rPr>
          <w:color w:val="4C4D4F"/>
          <w:spacing w:val="-2"/>
        </w:rPr>
        <w:t> </w:t>
      </w:r>
      <w:r>
        <w:rPr>
          <w:color w:val="4C4D4F"/>
        </w:rPr>
        <w:t>that: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21" w:after="0"/>
        <w:ind w:left="829" w:right="118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The “look and feel” of the community contributes to safety: </w:t>
      </w:r>
      <w:r>
        <w:rPr>
          <w:color w:val="4C4D4F"/>
          <w:sz w:val="22"/>
        </w:rPr>
        <w:t>Appropriate lighting,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passive surveillance (having other people around) helps residents to feel safe when walking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night and while at transport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hubs.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19" w:after="0"/>
        <w:ind w:left="829" w:right="0" w:hanging="361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Theft</w:t>
      </w:r>
      <w:r>
        <w:rPr>
          <w:b/>
          <w:i/>
          <w:color w:val="4C4D4F"/>
          <w:spacing w:val="-3"/>
          <w:sz w:val="22"/>
        </w:rPr>
        <w:t> </w:t>
      </w:r>
      <w:r>
        <w:rPr>
          <w:b/>
          <w:i/>
          <w:color w:val="4C4D4F"/>
          <w:sz w:val="22"/>
        </w:rPr>
        <w:t>is</w:t>
      </w:r>
      <w:r>
        <w:rPr>
          <w:b/>
          <w:i/>
          <w:color w:val="4C4D4F"/>
          <w:spacing w:val="-4"/>
          <w:sz w:val="22"/>
        </w:rPr>
        <w:t> </w:t>
      </w:r>
      <w:r>
        <w:rPr>
          <w:b/>
          <w:i/>
          <w:color w:val="4C4D4F"/>
          <w:sz w:val="22"/>
        </w:rPr>
        <w:t>a</w:t>
      </w:r>
      <w:r>
        <w:rPr>
          <w:b/>
          <w:i/>
          <w:color w:val="4C4D4F"/>
          <w:spacing w:val="-1"/>
          <w:sz w:val="22"/>
        </w:rPr>
        <w:t> </w:t>
      </w:r>
      <w:r>
        <w:rPr>
          <w:b/>
          <w:i/>
          <w:color w:val="4C4D4F"/>
          <w:sz w:val="22"/>
        </w:rPr>
        <w:t>concern</w:t>
      </w:r>
      <w:r>
        <w:rPr>
          <w:b/>
          <w:i/>
          <w:color w:val="4C4D4F"/>
          <w:spacing w:val="-4"/>
          <w:sz w:val="22"/>
        </w:rPr>
        <w:t> </w:t>
      </w:r>
      <w:r>
        <w:rPr>
          <w:b/>
          <w:i/>
          <w:color w:val="4C4D4F"/>
          <w:sz w:val="22"/>
        </w:rPr>
        <w:t>for</w:t>
      </w:r>
      <w:r>
        <w:rPr>
          <w:b/>
          <w:i/>
          <w:color w:val="4C4D4F"/>
          <w:spacing w:val="-4"/>
          <w:sz w:val="22"/>
        </w:rPr>
        <w:t> </w:t>
      </w:r>
      <w:r>
        <w:rPr>
          <w:b/>
          <w:i/>
          <w:color w:val="4C4D4F"/>
          <w:sz w:val="22"/>
        </w:rPr>
        <w:t>residents:</w:t>
      </w:r>
      <w:r>
        <w:rPr>
          <w:b/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Residents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feared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property, bike,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car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theft.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72" w:after="0"/>
        <w:ind w:left="829" w:right="433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Unsafe driver behaviour is contributing to road safety concerns: </w:t>
      </w:r>
      <w:r>
        <w:rPr>
          <w:color w:val="4C4D4F"/>
          <w:sz w:val="22"/>
        </w:rPr>
        <w:t>Traffic speeds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pacing w:val="-1"/>
          <w:sz w:val="22"/>
        </w:rPr>
        <w:t>illegal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behaviour,</w:t>
      </w:r>
      <w:r>
        <w:rPr>
          <w:color w:val="4C4D4F"/>
          <w:spacing w:val="2"/>
          <w:sz w:val="22"/>
        </w:rPr>
        <w:t> </w:t>
      </w:r>
      <w:r>
        <w:rPr>
          <w:color w:val="4C4D4F"/>
          <w:spacing w:val="-1"/>
          <w:sz w:val="22"/>
        </w:rPr>
        <w:t>in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local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streets </w:t>
      </w:r>
      <w:r>
        <w:rPr>
          <w:color w:val="4C4D4F"/>
          <w:sz w:val="22"/>
        </w:rPr>
        <w:t>can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put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pedestrian and bike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rider safety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-18"/>
          <w:sz w:val="22"/>
        </w:rPr>
        <w:t> </w:t>
      </w:r>
      <w:r>
        <w:rPr>
          <w:color w:val="4C4D4F"/>
          <w:sz w:val="22"/>
        </w:rPr>
        <w:t>risk.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18" w:after="0"/>
        <w:ind w:left="829" w:right="1245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Connected communities feel safer: </w:t>
      </w:r>
      <w:r>
        <w:rPr>
          <w:color w:val="4C4D4F"/>
          <w:sz w:val="22"/>
        </w:rPr>
        <w:t>Residents feel safer when they know their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neighbours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want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opportunities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connect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with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others.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20" w:after="0"/>
        <w:ind w:left="829" w:right="261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Diversity is celebrated: </w:t>
      </w:r>
      <w:r>
        <w:rPr>
          <w:color w:val="4C4D4F"/>
          <w:sz w:val="22"/>
        </w:rPr>
        <w:t>Residents are proud of the diversity in Port Phillip and see it as 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major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strength that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should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celebrated.</w:t>
      </w:r>
    </w:p>
    <w:p>
      <w:pPr>
        <w:spacing w:after="0" w:line="288" w:lineRule="auto"/>
        <w:jc w:val="left"/>
        <w:rPr>
          <w:rFonts w:ascii="Symbol" w:hAnsi="Symbol"/>
          <w:sz w:val="20"/>
        </w:rPr>
        <w:sectPr>
          <w:type w:val="continuous"/>
          <w:pgSz w:w="11910" w:h="16840"/>
          <w:pgMar w:top="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45" w:after="0"/>
        <w:ind w:left="829" w:right="899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Access to housing and support increases safety. </w:t>
      </w:r>
      <w:r>
        <w:rPr>
          <w:color w:val="4C4D4F"/>
          <w:sz w:val="22"/>
        </w:rPr>
        <w:t>Residents want those who are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sleeping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rough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be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supported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access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housing.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18" w:after="0"/>
        <w:ind w:left="829" w:right="250" w:hanging="361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Support for vulnerable groups is important to creating safer communities. </w:t>
      </w:r>
      <w:r>
        <w:rPr>
          <w:color w:val="4C4D4F"/>
          <w:sz w:val="22"/>
        </w:rPr>
        <w:t>Residents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believe that support needs to be provided to street-based sex workers, homeless people,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those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insecure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housing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older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citizens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identified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risk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elder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abuse.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24" w:after="0"/>
        <w:ind w:left="829" w:right="731" w:hanging="360"/>
        <w:jc w:val="left"/>
        <w:rPr>
          <w:rFonts w:ascii="Symbol" w:hAnsi="Symbol"/>
          <w:color w:val="4C4D4F"/>
          <w:sz w:val="20"/>
        </w:rPr>
      </w:pPr>
      <w:r>
        <w:rPr>
          <w:b/>
          <w:i/>
          <w:color w:val="4C4D4F"/>
          <w:sz w:val="22"/>
        </w:rPr>
        <w:t>Responsible pet ownership is important to residents and visitors. </w:t>
      </w:r>
      <w:r>
        <w:rPr>
          <w:color w:val="4C4D4F"/>
          <w:sz w:val="22"/>
        </w:rPr>
        <w:t>Residents feel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unsafe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around dogs off leash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behaving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aggressively.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7" w:lineRule="auto" w:before="119" w:after="0"/>
        <w:ind w:left="829" w:right="766" w:hanging="361"/>
        <w:jc w:val="left"/>
        <w:rPr>
          <w:rFonts w:ascii="Symbol" w:hAnsi="Symbol"/>
          <w:color w:val="4C4D4F"/>
          <w:sz w:val="22"/>
        </w:rPr>
      </w:pPr>
      <w:r>
        <w:rPr>
          <w:b/>
          <w:i/>
          <w:color w:val="4C4D4F"/>
          <w:sz w:val="22"/>
        </w:rPr>
        <w:t>People are concerned about impacts of alcohol and drug use. </w:t>
      </w:r>
      <w:r>
        <w:rPr>
          <w:color w:val="4C4D4F"/>
          <w:sz w:val="22"/>
        </w:rPr>
        <w:t>Residents see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impact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drug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alcohol misuse on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community.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357" w:val="left" w:leader="none"/>
        </w:tabs>
        <w:spacing w:line="240" w:lineRule="auto" w:before="1" w:after="0"/>
        <w:ind w:left="356" w:right="0" w:hanging="250"/>
        <w:jc w:val="left"/>
        <w:rPr>
          <w:i/>
        </w:rPr>
      </w:pPr>
      <w:r>
        <w:rPr>
          <w:i/>
          <w:color w:val="4C4D4F"/>
        </w:rPr>
        <w:t>Crime</w:t>
      </w:r>
      <w:r>
        <w:rPr>
          <w:i/>
          <w:color w:val="4C4D4F"/>
          <w:spacing w:val="-3"/>
        </w:rPr>
        <w:t> </w:t>
      </w:r>
      <w:r>
        <w:rPr>
          <w:i/>
          <w:color w:val="4C4D4F"/>
        </w:rPr>
        <w:t>within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the City</w:t>
      </w:r>
      <w:r>
        <w:rPr>
          <w:i/>
          <w:color w:val="4C4D4F"/>
          <w:spacing w:val="-2"/>
        </w:rPr>
        <w:t> </w:t>
      </w:r>
      <w:r>
        <w:rPr>
          <w:i/>
          <w:color w:val="4C4D4F"/>
        </w:rPr>
        <w:t>of</w:t>
      </w:r>
      <w:r>
        <w:rPr>
          <w:i/>
          <w:color w:val="4C4D4F"/>
          <w:spacing w:val="2"/>
        </w:rPr>
        <w:t> </w:t>
      </w:r>
      <w:r>
        <w:rPr>
          <w:i/>
          <w:color w:val="4C4D4F"/>
        </w:rPr>
        <w:t>Port</w:t>
      </w:r>
      <w:r>
        <w:rPr>
          <w:i/>
          <w:color w:val="4C4D4F"/>
          <w:spacing w:val="-11"/>
        </w:rPr>
        <w:t> </w:t>
      </w:r>
      <w:r>
        <w:rPr>
          <w:i/>
          <w:color w:val="4C4D4F"/>
        </w:rPr>
        <w:t>Phillip</w:t>
      </w:r>
    </w:p>
    <w:p>
      <w:pPr>
        <w:pStyle w:val="BodyText"/>
        <w:spacing w:before="136"/>
        <w:ind w:left="109"/>
      </w:pPr>
      <w:r>
        <w:rPr>
          <w:color w:val="4C4D4F"/>
        </w:rPr>
        <w:t>Victoria</w:t>
      </w:r>
      <w:r>
        <w:rPr>
          <w:color w:val="4C4D4F"/>
          <w:spacing w:val="-2"/>
        </w:rPr>
        <w:t> </w:t>
      </w:r>
      <w:r>
        <w:rPr>
          <w:color w:val="4C4D4F"/>
        </w:rPr>
        <w:t>Police</w:t>
      </w:r>
      <w:r>
        <w:rPr>
          <w:color w:val="4C4D4F"/>
          <w:spacing w:val="-1"/>
        </w:rPr>
        <w:t> </w:t>
      </w:r>
      <w:r>
        <w:rPr>
          <w:color w:val="4C4D4F"/>
        </w:rPr>
        <w:t>data</w:t>
      </w:r>
      <w:r>
        <w:rPr>
          <w:color w:val="4C4D4F"/>
          <w:spacing w:val="-4"/>
        </w:rPr>
        <w:t> </w:t>
      </w:r>
      <w:r>
        <w:rPr>
          <w:color w:val="4C4D4F"/>
        </w:rPr>
        <w:t>shows</w:t>
      </w:r>
      <w:r>
        <w:rPr>
          <w:color w:val="4C4D4F"/>
          <w:spacing w:val="-1"/>
        </w:rPr>
        <w:t> </w:t>
      </w:r>
      <w:r>
        <w:rPr>
          <w:color w:val="4C4D4F"/>
        </w:rPr>
        <w:t>that: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52" w:lineRule="auto" w:before="132" w:after="0"/>
        <w:ind w:left="829" w:right="93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rates of criminal incidents in Port Phillip have been consistently higher than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Victorian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average over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 past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ten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years.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52" w:lineRule="auto" w:before="121" w:after="0"/>
        <w:ind w:left="829" w:right="11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For the year ending September 2020, there was a substantial increase in criminal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incidences compared to the previous year. This increase is largely due to the introduction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new COVID-related offences. 10,395 criminal incidents were recorded from January to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September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however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968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were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safety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offences</w:t>
      </w:r>
      <w:r>
        <w:rPr>
          <w:color w:val="4C4D4F"/>
          <w:sz w:val="22"/>
          <w:vertAlign w:val="superscript"/>
        </w:rPr>
        <w:t>1</w:t>
      </w:r>
      <w:r>
        <w:rPr>
          <w:color w:val="4C4D4F"/>
          <w:sz w:val="22"/>
          <w:vertAlign w:val="baseline"/>
        </w:rPr>
        <w:t>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9" w:lineRule="auto" w:before="123" w:after="0"/>
        <w:ind w:left="829" w:right="21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There has been an increase in criminal incidents occurring on streets, lanes, and footpaths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car parks,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multi dwellings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apartments.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24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Approximately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one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third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total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criminal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incidents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occurred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Kilda.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52" w:lineRule="auto" w:before="131" w:after="0"/>
        <w:ind w:left="829" w:right="60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top offences included theft from motor vehicle, other theft, public health and safety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offences,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criminal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damage 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obtaining benefit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deception.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54" w:lineRule="auto" w:before="118" w:after="0"/>
        <w:ind w:left="829" w:right="22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Alleged offender incidents increased by 9.7 per cent between June 2019 and June 2020.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The most prevalent alleged offender age group was 45+ and males were almost four times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more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likely to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offend.</w:t>
      </w:r>
    </w:p>
    <w:p>
      <w:pPr>
        <w:pStyle w:val="ListParagraph"/>
        <w:numPr>
          <w:ilvl w:val="1"/>
          <w:numId w:val="1"/>
        </w:numPr>
        <w:tabs>
          <w:tab w:pos="822" w:val="left" w:leader="none"/>
          <w:tab w:pos="823" w:val="left" w:leader="none"/>
        </w:tabs>
        <w:spacing w:line="254" w:lineRule="auto" w:before="114" w:after="0"/>
        <w:ind w:left="822" w:right="441" w:hanging="356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The total number of victims of crime reports for the year ending September 2020 has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remained stable compared to the previous year, however victimisation rates per 100,000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persons have been consistently higher than the Victorian average since 2011 (Crime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Statistics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Agency,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BodyText"/>
        <w:spacing w:before="118"/>
        <w:ind w:left="110"/>
      </w:pPr>
      <w:r>
        <w:rPr>
          <w:color w:val="4C4D4F"/>
        </w:rPr>
        <w:t>In</w:t>
      </w:r>
      <w:r>
        <w:rPr>
          <w:color w:val="4C4D4F"/>
          <w:spacing w:val="-4"/>
        </w:rPr>
        <w:t> </w:t>
      </w:r>
      <w:r>
        <w:rPr>
          <w:color w:val="4C4D4F"/>
        </w:rPr>
        <w:t>relation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family</w:t>
      </w:r>
      <w:r>
        <w:rPr>
          <w:color w:val="4C4D4F"/>
          <w:spacing w:val="-1"/>
        </w:rPr>
        <w:t> </w:t>
      </w:r>
      <w:r>
        <w:rPr>
          <w:color w:val="4C4D4F"/>
        </w:rPr>
        <w:t>violence: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49" w:lineRule="auto" w:before="138" w:after="0"/>
        <w:ind w:left="830" w:right="32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While Port Phillip’s incidence of family violence is below the Victorian average, rates have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been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increasing since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1"/>
        </w:rPr>
      </w:pPr>
      <w:r>
        <w:rPr/>
        <w:pict>
          <v:rect style="position:absolute;margin-left:56.48pt;margin-top:14.062484pt;width:144.050pt;height:.600010pt;mso-position-horizontal-relative:page;mso-position-vertical-relative:paragraph;z-index:-15728128;mso-wrap-distance-left:0;mso-wrap-distance-right:0" filled="true" fillcolor="#4c4d4f" stroked="false">
            <v:fill type="solid"/>
            <w10:wrap type="topAndBottom"/>
          </v:rect>
        </w:pic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0"/>
        </w:rPr>
      </w:pPr>
    </w:p>
    <w:p>
      <w:pPr>
        <w:spacing w:line="288" w:lineRule="auto" w:before="0"/>
        <w:ind w:left="109" w:right="168" w:firstLine="0"/>
        <w:jc w:val="left"/>
        <w:rPr>
          <w:sz w:val="20"/>
        </w:rPr>
      </w:pPr>
      <w:r>
        <w:rPr>
          <w:color w:val="4C4D4F"/>
          <w:position w:val="6"/>
          <w:sz w:val="13"/>
        </w:rPr>
        <w:t>1 </w:t>
      </w:r>
      <w:r>
        <w:rPr>
          <w:color w:val="4C4D4F"/>
          <w:sz w:val="20"/>
        </w:rPr>
        <w:t>Six new Covid-19 related offences codes were added in 2020 to the overall public health and safety</w:t>
      </w:r>
      <w:r>
        <w:rPr>
          <w:color w:val="4C4D4F"/>
          <w:spacing w:val="1"/>
          <w:sz w:val="20"/>
        </w:rPr>
        <w:t> </w:t>
      </w:r>
      <w:r>
        <w:rPr>
          <w:color w:val="4C4D4F"/>
          <w:sz w:val="20"/>
        </w:rPr>
        <w:t>offences category. These offences codes were introduced to support the Victorian Government public health</w:t>
      </w:r>
      <w:r>
        <w:rPr>
          <w:color w:val="4C4D4F"/>
          <w:spacing w:val="-53"/>
          <w:sz w:val="20"/>
        </w:rPr>
        <w:t> </w:t>
      </w:r>
      <w:r>
        <w:rPr>
          <w:color w:val="4C4D4F"/>
          <w:sz w:val="20"/>
        </w:rPr>
        <w:t>response to COVID-19 which involved restrictions on people’s movements, new hygiene sanitation practices</w:t>
      </w:r>
      <w:r>
        <w:rPr>
          <w:color w:val="4C4D4F"/>
          <w:spacing w:val="-53"/>
          <w:sz w:val="20"/>
        </w:rPr>
        <w:t> </w:t>
      </w:r>
      <w:r>
        <w:rPr>
          <w:color w:val="4C4D4F"/>
          <w:sz w:val="20"/>
        </w:rPr>
        <w:t>and</w:t>
      </w:r>
      <w:r>
        <w:rPr>
          <w:color w:val="4C4D4F"/>
          <w:spacing w:val="-2"/>
          <w:sz w:val="20"/>
        </w:rPr>
        <w:t> </w:t>
      </w:r>
      <w:r>
        <w:rPr>
          <w:color w:val="4C4D4F"/>
          <w:sz w:val="20"/>
        </w:rPr>
        <w:t>the</w:t>
      </w:r>
      <w:r>
        <w:rPr>
          <w:color w:val="4C4D4F"/>
          <w:spacing w:val="1"/>
          <w:sz w:val="20"/>
        </w:rPr>
        <w:t> </w:t>
      </w:r>
      <w:r>
        <w:rPr>
          <w:color w:val="4C4D4F"/>
          <w:sz w:val="20"/>
        </w:rPr>
        <w:t>introduction</w:t>
      </w:r>
      <w:r>
        <w:rPr>
          <w:color w:val="4C4D4F"/>
          <w:spacing w:val="1"/>
          <w:sz w:val="20"/>
        </w:rPr>
        <w:t> </w:t>
      </w:r>
      <w:r>
        <w:rPr>
          <w:color w:val="4C4D4F"/>
          <w:sz w:val="20"/>
        </w:rPr>
        <w:t>of</w:t>
      </w:r>
      <w:r>
        <w:rPr>
          <w:color w:val="4C4D4F"/>
          <w:spacing w:val="-1"/>
          <w:sz w:val="20"/>
        </w:rPr>
        <w:t> </w:t>
      </w:r>
      <w:r>
        <w:rPr>
          <w:color w:val="4C4D4F"/>
          <w:sz w:val="20"/>
        </w:rPr>
        <w:t>mask wearing</w:t>
      </w:r>
      <w:r>
        <w:rPr>
          <w:color w:val="4C4D4F"/>
          <w:spacing w:val="-2"/>
          <w:sz w:val="20"/>
        </w:rPr>
        <w:t> </w:t>
      </w:r>
      <w:r>
        <w:rPr>
          <w:color w:val="4C4D4F"/>
          <w:sz w:val="20"/>
        </w:rPr>
        <w:t>in</w:t>
      </w:r>
      <w:r>
        <w:rPr>
          <w:color w:val="4C4D4F"/>
          <w:spacing w:val="-1"/>
          <w:sz w:val="20"/>
        </w:rPr>
        <w:t> </w:t>
      </w:r>
      <w:r>
        <w:rPr>
          <w:color w:val="4C4D4F"/>
          <w:sz w:val="20"/>
        </w:rPr>
        <w:t>public.</w:t>
      </w:r>
    </w:p>
    <w:p>
      <w:pPr>
        <w:spacing w:after="0" w:line="288" w:lineRule="auto"/>
        <w:jc w:val="left"/>
        <w:rPr>
          <w:sz w:val="20"/>
        </w:rPr>
        <w:sectPr>
          <w:headerReference w:type="default" r:id="rId10"/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54" w:lineRule="auto" w:before="171" w:after="0"/>
        <w:ind w:left="829" w:right="34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 2019/20 there were 1,354 incidents of family violence attended by police in Port Phillip,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representing a 6 per cent increase on the previous year and a 22 per cent increase on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incidents in 2015/16. It is estimated that only 25 per cent of family violence incidents are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reported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police.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Consequently,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above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data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unlikely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capture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full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scale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58"/>
          <w:sz w:val="22"/>
        </w:rPr>
        <w:t> </w:t>
      </w:r>
      <w:r>
        <w:rPr>
          <w:color w:val="4C4D4F"/>
          <w:sz w:val="22"/>
        </w:rPr>
        <w:t>the issue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our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municipality.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7" w:lineRule="auto" w:before="120" w:after="0"/>
        <w:ind w:left="829" w:right="195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Incidents most frequently take place at residential locations and occur between current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former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partners.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7" w:lineRule="auto" w:before="134" w:after="0"/>
        <w:ind w:left="829" w:right="14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 fifth of family violence incidents attended by police recorded a child or children as present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(Hutcheson,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2017).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1"/>
        <w:ind w:right="1088"/>
      </w:pPr>
      <w:r>
        <w:rPr>
          <w:color w:val="44687A"/>
        </w:rPr>
        <w:t>How are some groups in our community particularly affected by safety</w:t>
      </w:r>
      <w:r>
        <w:rPr>
          <w:color w:val="44687A"/>
          <w:spacing w:val="-75"/>
        </w:rPr>
        <w:t> </w:t>
      </w:r>
      <w:r>
        <w:rPr>
          <w:color w:val="44687A"/>
        </w:rPr>
        <w:t>concerns?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83" w:lineRule="auto" w:before="244" w:after="0"/>
        <w:ind w:left="829" w:right="861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In Victoria, males account for 45 per cent of victim reports and almost 80 per cent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offenders. The most prevalent alleged offender age group was 45+ (Crime Statistics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Agency,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2020).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25" w:after="0"/>
        <w:ind w:left="829" w:right="25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Australia-wide, men are most likely to be physically assaulted in public by a male stranger,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whereas the majority of violence against women occurs in the woman’s own home and is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perpetrated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by a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man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know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(Australian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Bureau 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Statistics,</w:t>
      </w:r>
      <w:r>
        <w:rPr>
          <w:color w:val="4C4D4F"/>
          <w:spacing w:val="-14"/>
          <w:sz w:val="22"/>
        </w:rPr>
        <w:t> </w:t>
      </w:r>
      <w:r>
        <w:rPr>
          <w:color w:val="4C4D4F"/>
          <w:sz w:val="22"/>
        </w:rPr>
        <w:t>2017).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24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Women report a lower sense of safety and security than men (City of Port Phillip, 2020).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fact, women’s perceptions of safety in Australia are among the lowest among developed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countries, with over half of Australian women feeling unsafe when walking alone at night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(GIWPS,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2019).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28" w:after="0"/>
        <w:ind w:left="829" w:right="156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People residing in Port Phillip who have a disability are less likely to feel safe walking alone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during the day or night compared to people without a disability (VicHealth, 2015). Men with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 disability experience higher levels of physical violence than men without a disability, while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women with a disability experience higher levels of partner abuse than women without a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disability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(Krnjacki,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et al., 2015).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35" w:after="0"/>
        <w:ind w:left="829" w:right="29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While there are no significant differences in perceptions of safety walking alone during the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day or night between non-heterosexual and heterosexual Victorians, LGB Victorians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reported lower general wellbeing, resilience and life satisfaction, which is “intimately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connected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their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sense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safety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 their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community”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(VicHealth,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2015).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26" w:after="0"/>
        <w:ind w:left="829" w:right="26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Consultation with 900 young people highlighted that safety was one of the top three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aspects young people did not like about Port Phillip (City of Port Phillip, 2020). However, 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resilience survey undertaken with eleven schools showed that one of the key strengths for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young people was safety at home, at school, and in the community (Resilient Youth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Australia,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2019).</w:t>
      </w:r>
    </w:p>
    <w:p>
      <w:pPr>
        <w:spacing w:after="0" w:line="283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20"/>
      </w:pPr>
      <w:r>
        <w:rPr>
          <w:color w:val="44687A"/>
        </w:rPr>
        <w:t>How</w:t>
      </w:r>
      <w:r>
        <w:rPr>
          <w:color w:val="44687A"/>
          <w:spacing w:val="-1"/>
        </w:rPr>
        <w:t> </w:t>
      </w:r>
      <w:r>
        <w:rPr>
          <w:color w:val="44687A"/>
        </w:rPr>
        <w:t>has</w:t>
      </w:r>
      <w:r>
        <w:rPr>
          <w:color w:val="44687A"/>
          <w:spacing w:val="-2"/>
        </w:rPr>
        <w:t> </w:t>
      </w:r>
      <w:r>
        <w:rPr>
          <w:color w:val="44687A"/>
        </w:rPr>
        <w:t>COVID-19</w:t>
      </w:r>
      <w:r>
        <w:rPr>
          <w:color w:val="44687A"/>
          <w:spacing w:val="-2"/>
        </w:rPr>
        <w:t> </w:t>
      </w:r>
      <w:r>
        <w:rPr>
          <w:color w:val="44687A"/>
        </w:rPr>
        <w:t>affected</w:t>
      </w:r>
      <w:r>
        <w:rPr>
          <w:color w:val="44687A"/>
          <w:spacing w:val="-4"/>
        </w:rPr>
        <w:t> </w:t>
      </w:r>
      <w:r>
        <w:rPr>
          <w:color w:val="44687A"/>
        </w:rPr>
        <w:t>community</w:t>
      </w:r>
      <w:r>
        <w:rPr>
          <w:color w:val="44687A"/>
          <w:spacing w:val="-2"/>
        </w:rPr>
        <w:t> </w:t>
      </w:r>
      <w:r>
        <w:rPr>
          <w:color w:val="44687A"/>
        </w:rPr>
        <w:t>safety?</w:t>
      </w:r>
    </w:p>
    <w:p>
      <w:pPr>
        <w:pStyle w:val="BodyText"/>
        <w:spacing w:line="288" w:lineRule="auto" w:before="147"/>
        <w:ind w:left="109" w:right="118"/>
      </w:pPr>
      <w:r>
        <w:rPr>
          <w:color w:val="4C4D4F"/>
        </w:rPr>
        <w:t>It is difficult to establish a causal relationship between Covid-19 restrictions and crime rates.</w:t>
      </w:r>
      <w:r>
        <w:rPr>
          <w:color w:val="4C4D4F"/>
          <w:spacing w:val="1"/>
        </w:rPr>
        <w:t> </w:t>
      </w:r>
      <w:r>
        <w:rPr>
          <w:color w:val="4C4D4F"/>
        </w:rPr>
        <w:t>However, it is evident that lockdown restrictions significantly alter the environment in which criminal</w:t>
      </w:r>
      <w:r>
        <w:rPr>
          <w:color w:val="4C4D4F"/>
          <w:spacing w:val="-60"/>
        </w:rPr>
        <w:t> </w:t>
      </w:r>
      <w:r>
        <w:rPr>
          <w:color w:val="4C4D4F"/>
        </w:rPr>
        <w:t>activity</w:t>
      </w:r>
      <w:r>
        <w:rPr>
          <w:color w:val="4C4D4F"/>
          <w:spacing w:val="-3"/>
        </w:rPr>
        <w:t> </w:t>
      </w:r>
      <w:r>
        <w:rPr>
          <w:color w:val="4C4D4F"/>
        </w:rPr>
        <w:t>can</w:t>
      </w:r>
      <w:r>
        <w:rPr>
          <w:color w:val="4C4D4F"/>
          <w:spacing w:val="-3"/>
        </w:rPr>
        <w:t> </w:t>
      </w:r>
      <w:r>
        <w:rPr>
          <w:color w:val="4C4D4F"/>
        </w:rPr>
        <w:t>take</w:t>
      </w:r>
      <w:r>
        <w:rPr>
          <w:color w:val="4C4D4F"/>
          <w:spacing w:val="-1"/>
        </w:rPr>
        <w:t> </w:t>
      </w:r>
      <w:r>
        <w:rPr>
          <w:color w:val="4C4D4F"/>
        </w:rPr>
        <w:t>place.</w:t>
      </w:r>
      <w:r>
        <w:rPr>
          <w:color w:val="4C4D4F"/>
          <w:spacing w:val="2"/>
        </w:rPr>
        <w:t> </w:t>
      </w:r>
      <w:r>
        <w:rPr>
          <w:color w:val="4C4D4F"/>
        </w:rPr>
        <w:t>Less</w:t>
      </w:r>
      <w:r>
        <w:rPr>
          <w:color w:val="4C4D4F"/>
          <w:spacing w:val="-1"/>
        </w:rPr>
        <w:t> </w:t>
      </w:r>
      <w:r>
        <w:rPr>
          <w:color w:val="4C4D4F"/>
        </w:rPr>
        <w:t>people</w:t>
      </w:r>
      <w:r>
        <w:rPr>
          <w:color w:val="4C4D4F"/>
          <w:spacing w:val="-1"/>
        </w:rPr>
        <w:t> </w:t>
      </w:r>
      <w:r>
        <w:rPr>
          <w:color w:val="4C4D4F"/>
        </w:rPr>
        <w:t>out</w:t>
      </w:r>
      <w:r>
        <w:rPr>
          <w:color w:val="4C4D4F"/>
          <w:spacing w:val="2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public</w:t>
      </w:r>
      <w:r>
        <w:rPr>
          <w:color w:val="4C4D4F"/>
          <w:spacing w:val="-3"/>
        </w:rPr>
        <w:t> </w:t>
      </w:r>
      <w:r>
        <w:rPr>
          <w:color w:val="4C4D4F"/>
        </w:rPr>
        <w:t>may</w:t>
      </w:r>
      <w:r>
        <w:rPr>
          <w:color w:val="4C4D4F"/>
          <w:spacing w:val="-2"/>
        </w:rPr>
        <w:t> </w:t>
      </w:r>
      <w:r>
        <w:rPr>
          <w:color w:val="4C4D4F"/>
        </w:rPr>
        <w:t>reduce</w:t>
      </w:r>
      <w:r>
        <w:rPr>
          <w:color w:val="4C4D4F"/>
          <w:spacing w:val="-3"/>
        </w:rPr>
        <w:t> </w:t>
      </w:r>
      <w:r>
        <w:rPr>
          <w:color w:val="4C4D4F"/>
        </w:rPr>
        <w:t>crime</w:t>
      </w:r>
      <w:r>
        <w:rPr>
          <w:color w:val="4C4D4F"/>
          <w:spacing w:val="-3"/>
        </w:rPr>
        <w:t> </w:t>
      </w:r>
      <w:r>
        <w:rPr>
          <w:color w:val="4C4D4F"/>
        </w:rPr>
        <w:t>rates</w:t>
      </w:r>
      <w:r>
        <w:rPr>
          <w:color w:val="4C4D4F"/>
          <w:spacing w:val="-4"/>
        </w:rPr>
        <w:t> </w:t>
      </w:r>
      <w:r>
        <w:rPr>
          <w:color w:val="4C4D4F"/>
        </w:rPr>
        <w:t>on</w:t>
      </w:r>
      <w:r>
        <w:rPr>
          <w:color w:val="4C4D4F"/>
          <w:spacing w:val="-1"/>
        </w:rPr>
        <w:t> </w:t>
      </w:r>
      <w:r>
        <w:rPr>
          <w:color w:val="4C4D4F"/>
        </w:rPr>
        <w:t>the</w:t>
      </w:r>
      <w:r>
        <w:rPr>
          <w:color w:val="4C4D4F"/>
          <w:spacing w:val="-3"/>
        </w:rPr>
        <w:t> </w:t>
      </w:r>
      <w:r>
        <w:rPr>
          <w:color w:val="4C4D4F"/>
        </w:rPr>
        <w:t>streets.</w:t>
      </w:r>
    </w:p>
    <w:p>
      <w:pPr>
        <w:pStyle w:val="BodyText"/>
        <w:spacing w:before="121"/>
        <w:ind w:left="109"/>
      </w:pPr>
      <w:r>
        <w:rPr>
          <w:color w:val="4C4D4F"/>
        </w:rPr>
        <w:t>Victorian</w:t>
      </w:r>
      <w:r>
        <w:rPr>
          <w:color w:val="4C4D4F"/>
          <w:spacing w:val="-2"/>
        </w:rPr>
        <w:t> </w:t>
      </w:r>
      <w:r>
        <w:rPr>
          <w:color w:val="4C4D4F"/>
        </w:rPr>
        <w:t>family</w:t>
      </w:r>
      <w:r>
        <w:rPr>
          <w:color w:val="4C4D4F"/>
          <w:spacing w:val="-2"/>
        </w:rPr>
        <w:t> </w:t>
      </w:r>
      <w:r>
        <w:rPr>
          <w:color w:val="4C4D4F"/>
        </w:rPr>
        <w:t>violence</w:t>
      </w:r>
      <w:r>
        <w:rPr>
          <w:color w:val="4C4D4F"/>
          <w:spacing w:val="-4"/>
        </w:rPr>
        <w:t> </w:t>
      </w:r>
      <w:r>
        <w:rPr>
          <w:color w:val="4C4D4F"/>
        </w:rPr>
        <w:t>practitioners</w:t>
      </w:r>
      <w:r>
        <w:rPr>
          <w:color w:val="4C4D4F"/>
          <w:spacing w:val="-4"/>
        </w:rPr>
        <w:t> </w:t>
      </w:r>
      <w:r>
        <w:rPr>
          <w:color w:val="4C4D4F"/>
        </w:rPr>
        <w:t>reported</w:t>
      </w:r>
      <w:r>
        <w:rPr>
          <w:color w:val="4C4D4F"/>
          <w:spacing w:val="-3"/>
        </w:rPr>
        <w:t> </w:t>
      </w:r>
      <w:r>
        <w:rPr>
          <w:color w:val="4C4D4F"/>
        </w:rPr>
        <w:t>that</w:t>
      </w:r>
      <w:r>
        <w:rPr>
          <w:color w:val="4C4D4F"/>
          <w:spacing w:val="-2"/>
        </w:rPr>
        <w:t> </w:t>
      </w:r>
      <w:r>
        <w:rPr>
          <w:color w:val="4C4D4F"/>
        </w:rPr>
        <w:t>the</w:t>
      </w:r>
      <w:r>
        <w:rPr>
          <w:color w:val="4C4D4F"/>
          <w:spacing w:val="-2"/>
        </w:rPr>
        <w:t> </w:t>
      </w:r>
      <w:r>
        <w:rPr>
          <w:color w:val="4C4D4F"/>
        </w:rPr>
        <w:t>pandemic</w:t>
      </w:r>
      <w:r>
        <w:rPr>
          <w:color w:val="4C4D4F"/>
          <w:spacing w:val="-2"/>
        </w:rPr>
        <w:t> </w:t>
      </w:r>
      <w:r>
        <w:rPr>
          <w:color w:val="4C4D4F"/>
        </w:rPr>
        <w:t>has</w:t>
      </w:r>
      <w:r>
        <w:rPr>
          <w:color w:val="4C4D4F"/>
          <w:spacing w:val="-4"/>
        </w:rPr>
        <w:t> </w:t>
      </w:r>
      <w:r>
        <w:rPr>
          <w:color w:val="4C4D4F"/>
        </w:rPr>
        <w:t>led</w:t>
      </w:r>
      <w:r>
        <w:rPr>
          <w:color w:val="4C4D4F"/>
          <w:spacing w:val="-3"/>
        </w:rPr>
        <w:t> </w:t>
      </w:r>
      <w:r>
        <w:rPr>
          <w:color w:val="4C4D4F"/>
        </w:rPr>
        <w:t>to: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78" w:lineRule="auto" w:before="172" w:after="0"/>
        <w:ind w:left="829" w:right="488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An increase in the frequency and severity of violence against women and an increase in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first-time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reporting by</w:t>
      </w:r>
      <w:r>
        <w:rPr>
          <w:color w:val="4C4D4F"/>
          <w:spacing w:val="-6"/>
          <w:sz w:val="22"/>
        </w:rPr>
        <w:t> </w:t>
      </w:r>
      <w:r>
        <w:rPr>
          <w:color w:val="4C4D4F"/>
          <w:sz w:val="22"/>
        </w:rPr>
        <w:t>women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An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increase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in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complexity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women’s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needs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78" w:lineRule="auto" w:before="167" w:after="0"/>
        <w:ind w:left="830" w:right="322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New forms of violence, including enhanced tactics to achieve social isolation and forms of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violence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specifically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relating 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threat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risk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COVID-19</w:t>
      </w:r>
      <w:r>
        <w:rPr>
          <w:color w:val="4C4D4F"/>
          <w:spacing w:val="-12"/>
          <w:sz w:val="22"/>
        </w:rPr>
        <w:t> </w:t>
      </w:r>
      <w:r>
        <w:rPr>
          <w:color w:val="4C4D4F"/>
          <w:sz w:val="22"/>
        </w:rPr>
        <w:t>infection</w:t>
      </w:r>
    </w:p>
    <w:p>
      <w:pPr>
        <w:pStyle w:val="ListParagraph"/>
        <w:numPr>
          <w:ilvl w:val="1"/>
          <w:numId w:val="1"/>
        </w:numPr>
        <w:tabs>
          <w:tab w:pos="831" w:val="left" w:leader="none"/>
        </w:tabs>
        <w:spacing w:line="278" w:lineRule="auto" w:before="130" w:after="0"/>
        <w:ind w:left="830" w:right="218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For many women experiencing violence during the lockdown period, it was more difficult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seek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help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(Pfitzner, et al., 2020).</w:t>
      </w:r>
    </w:p>
    <w:p>
      <w:pPr>
        <w:pStyle w:val="BodyText"/>
        <w:spacing w:line="254" w:lineRule="auto" w:before="132"/>
        <w:ind w:left="110" w:right="460"/>
        <w:jc w:val="both"/>
      </w:pPr>
      <w:r>
        <w:rPr>
          <w:color w:val="4C4D4F"/>
        </w:rPr>
        <w:t>While Port Phillip’s incidence of family violence is below the Victorian average, rates have been</w:t>
      </w:r>
      <w:r>
        <w:rPr>
          <w:color w:val="4C4D4F"/>
          <w:spacing w:val="-59"/>
        </w:rPr>
        <w:t> </w:t>
      </w:r>
      <w:r>
        <w:rPr>
          <w:color w:val="4C4D4F"/>
        </w:rPr>
        <w:t>increasing since 2016. It is expected that this trend will continue to accelerate in 2020/21 due to</w:t>
      </w:r>
      <w:r>
        <w:rPr>
          <w:color w:val="4C4D4F"/>
          <w:spacing w:val="-59"/>
        </w:rPr>
        <w:t> </w:t>
      </w:r>
      <w:r>
        <w:rPr>
          <w:color w:val="4C4D4F"/>
        </w:rPr>
        <w:t>the</w:t>
      </w:r>
      <w:r>
        <w:rPr>
          <w:color w:val="4C4D4F"/>
          <w:spacing w:val="-1"/>
        </w:rPr>
        <w:t> </w:t>
      </w:r>
      <w:r>
        <w:rPr>
          <w:color w:val="4C4D4F"/>
        </w:rPr>
        <w:t>on-going effects of</w:t>
      </w:r>
      <w:r>
        <w:rPr>
          <w:color w:val="4C4D4F"/>
          <w:spacing w:val="2"/>
        </w:rPr>
        <w:t> </w:t>
      </w:r>
      <w:r>
        <w:rPr>
          <w:color w:val="4C4D4F"/>
        </w:rPr>
        <w:t>COVID-19.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64"/>
      </w:pPr>
      <w:r>
        <w:rPr>
          <w:color w:val="44687A"/>
        </w:rPr>
        <w:t>Why is</w:t>
      </w:r>
      <w:r>
        <w:rPr>
          <w:color w:val="44687A"/>
          <w:spacing w:val="-3"/>
        </w:rPr>
        <w:t> </w:t>
      </w:r>
      <w:r>
        <w:rPr>
          <w:color w:val="44687A"/>
        </w:rPr>
        <w:t>managing</w:t>
      </w:r>
      <w:r>
        <w:rPr>
          <w:color w:val="44687A"/>
          <w:spacing w:val="-4"/>
        </w:rPr>
        <w:t> </w:t>
      </w:r>
      <w:r>
        <w:rPr>
          <w:color w:val="44687A"/>
        </w:rPr>
        <w:t>community</w:t>
      </w:r>
      <w:r>
        <w:rPr>
          <w:color w:val="44687A"/>
          <w:spacing w:val="-4"/>
        </w:rPr>
        <w:t> </w:t>
      </w:r>
      <w:r>
        <w:rPr>
          <w:color w:val="44687A"/>
        </w:rPr>
        <w:t>safety important?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245" w:after="0"/>
        <w:ind w:left="829" w:right="289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When individuals feel safe within their communities, they are more likely to connect with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friends, engage with other community members and experience greater levels of trust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social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connection.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</w:tabs>
        <w:spacing w:line="283" w:lineRule="auto" w:before="124" w:after="0"/>
        <w:ind w:left="829" w:right="154" w:hanging="361"/>
        <w:jc w:val="both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 safety also influences our physical health and wellbeing by altering how people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use, and interact with, the built environment, local amenities, parks and community facilities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their ability to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travel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 opportunities in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the wider</w:t>
      </w:r>
      <w:r>
        <w:rPr>
          <w:color w:val="4C4D4F"/>
          <w:spacing w:val="-10"/>
          <w:sz w:val="22"/>
        </w:rPr>
        <w:t> </w:t>
      </w:r>
      <w:r>
        <w:rPr>
          <w:color w:val="4C4D4F"/>
          <w:sz w:val="22"/>
        </w:rPr>
        <w:t>community.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124" w:after="0"/>
        <w:ind w:left="829" w:right="21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How people perceive safety can influence behaviour and community wellbeing. The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positive ‘look and feel’ of our streets and spaces can contribute to reducing crime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increase feelings of safety. Perceptions of safety are often driven by how people feel about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area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or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place.</w:t>
      </w:r>
    </w:p>
    <w:p>
      <w:pPr>
        <w:pStyle w:val="BodyText"/>
        <w:ind w:left="0"/>
        <w:rPr>
          <w:sz w:val="24"/>
        </w:rPr>
      </w:pPr>
    </w:p>
    <w:p>
      <w:pPr>
        <w:pStyle w:val="Heading1"/>
        <w:spacing w:before="151"/>
        <w:ind w:right="434"/>
      </w:pPr>
      <w:r>
        <w:rPr>
          <w:color w:val="44687A"/>
        </w:rPr>
        <w:t>How are the Commonwealth and State Governments managing community</w:t>
      </w:r>
      <w:r>
        <w:rPr>
          <w:color w:val="44687A"/>
          <w:spacing w:val="-75"/>
        </w:rPr>
        <w:t> </w:t>
      </w:r>
      <w:r>
        <w:rPr>
          <w:color w:val="44687A"/>
        </w:rPr>
        <w:t>safety?</w:t>
      </w:r>
    </w:p>
    <w:p>
      <w:pPr>
        <w:pStyle w:val="BodyText"/>
        <w:spacing w:line="288" w:lineRule="auto" w:before="243"/>
        <w:ind w:left="109" w:right="239"/>
      </w:pPr>
      <w:r>
        <w:rPr>
          <w:color w:val="4C4D4F"/>
        </w:rPr>
        <w:t>Federal and State governments are responsible for law and order, public health, social housing,</w:t>
      </w:r>
      <w:r>
        <w:rPr>
          <w:color w:val="4C4D4F"/>
          <w:spacing w:val="1"/>
        </w:rPr>
        <w:t> </w:t>
      </w:r>
      <w:r>
        <w:rPr>
          <w:color w:val="4C4D4F"/>
        </w:rPr>
        <w:t>public transport, and emergency management. Victoria Police, in conjunction with the Department</w:t>
      </w:r>
      <w:r>
        <w:rPr>
          <w:color w:val="4C4D4F"/>
          <w:spacing w:val="-59"/>
        </w:rPr>
        <w:t> </w:t>
      </w:r>
      <w:r>
        <w:rPr>
          <w:color w:val="4C4D4F"/>
        </w:rPr>
        <w:t>for Justice and Community Safety, set the priorities for crime prevention and community safety,</w:t>
      </w:r>
      <w:r>
        <w:rPr>
          <w:color w:val="4C4D4F"/>
          <w:spacing w:val="1"/>
        </w:rPr>
        <w:t> </w:t>
      </w:r>
      <w:r>
        <w:rPr>
          <w:color w:val="4C4D4F"/>
        </w:rPr>
        <w:t>and</w:t>
      </w:r>
      <w:r>
        <w:rPr>
          <w:color w:val="4C4D4F"/>
          <w:spacing w:val="-1"/>
        </w:rPr>
        <w:t> </w:t>
      </w:r>
      <w:r>
        <w:rPr>
          <w:color w:val="4C4D4F"/>
        </w:rPr>
        <w:t>lead on</w:t>
      </w:r>
      <w:r>
        <w:rPr>
          <w:color w:val="4C4D4F"/>
          <w:spacing w:val="-2"/>
        </w:rPr>
        <w:t> </w:t>
      </w:r>
      <w:r>
        <w:rPr>
          <w:color w:val="4C4D4F"/>
        </w:rPr>
        <w:t>responses</w:t>
      </w:r>
      <w:r>
        <w:rPr>
          <w:color w:val="4C4D4F"/>
          <w:spacing w:val="-2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these</w:t>
      </w:r>
      <w:r>
        <w:rPr>
          <w:color w:val="4C4D4F"/>
          <w:spacing w:val="-2"/>
        </w:rPr>
        <w:t> </w:t>
      </w:r>
      <w:r>
        <w:rPr>
          <w:color w:val="4C4D4F"/>
        </w:rPr>
        <w:t>issues in</w:t>
      </w:r>
      <w:r>
        <w:rPr>
          <w:color w:val="4C4D4F"/>
          <w:spacing w:val="-2"/>
        </w:rPr>
        <w:t> </w:t>
      </w:r>
      <w:r>
        <w:rPr>
          <w:color w:val="4C4D4F"/>
        </w:rPr>
        <w:t>Port</w:t>
      </w:r>
      <w:r>
        <w:rPr>
          <w:color w:val="4C4D4F"/>
          <w:spacing w:val="1"/>
        </w:rPr>
        <w:t> </w:t>
      </w:r>
      <w:r>
        <w:rPr>
          <w:color w:val="4C4D4F"/>
        </w:rPr>
        <w:t>Phillip.</w:t>
      </w:r>
    </w:p>
    <w:p>
      <w:pPr>
        <w:spacing w:after="0" w:line="288" w:lineRule="auto"/>
        <w:sectPr>
          <w:pgSz w:w="11910" w:h="16840"/>
          <w:pgMar w:header="0" w:footer="0" w:top="1980" w:bottom="280" w:left="1020" w:right="1020"/>
        </w:sectPr>
      </w:pPr>
    </w:p>
    <w:p>
      <w:pPr>
        <w:pStyle w:val="Heading1"/>
        <w:spacing w:before="166"/>
      </w:pPr>
      <w:r>
        <w:rPr>
          <w:color w:val="44687A"/>
        </w:rPr>
        <w:t>What</w:t>
      </w:r>
      <w:r>
        <w:rPr>
          <w:color w:val="44687A"/>
          <w:spacing w:val="1"/>
        </w:rPr>
        <w:t> </w:t>
      </w:r>
      <w:r>
        <w:rPr>
          <w:color w:val="44687A"/>
        </w:rPr>
        <w:t>is the</w:t>
      </w:r>
      <w:r>
        <w:rPr>
          <w:color w:val="44687A"/>
          <w:spacing w:val="-2"/>
        </w:rPr>
        <w:t> </w:t>
      </w:r>
      <w:r>
        <w:rPr>
          <w:color w:val="44687A"/>
        </w:rPr>
        <w:t>role</w:t>
      </w:r>
      <w:r>
        <w:rPr>
          <w:color w:val="44687A"/>
          <w:spacing w:val="-2"/>
        </w:rPr>
        <w:t> </w:t>
      </w:r>
      <w:r>
        <w:rPr>
          <w:color w:val="44687A"/>
        </w:rPr>
        <w:t>of the</w:t>
      </w:r>
      <w:r>
        <w:rPr>
          <w:color w:val="44687A"/>
          <w:spacing w:val="1"/>
        </w:rPr>
        <w:t> </w:t>
      </w:r>
      <w:r>
        <w:rPr>
          <w:color w:val="44687A"/>
        </w:rPr>
        <w:t>Port Phillip</w:t>
      </w:r>
      <w:r>
        <w:rPr>
          <w:color w:val="44687A"/>
          <w:spacing w:val="-2"/>
        </w:rPr>
        <w:t> </w:t>
      </w:r>
      <w:r>
        <w:rPr>
          <w:color w:val="44687A"/>
        </w:rPr>
        <w:t>City</w:t>
      </w:r>
      <w:r>
        <w:rPr>
          <w:color w:val="44687A"/>
          <w:spacing w:val="-1"/>
        </w:rPr>
        <w:t> </w:t>
      </w:r>
      <w:r>
        <w:rPr>
          <w:color w:val="44687A"/>
        </w:rPr>
        <w:t>Council</w:t>
      </w:r>
      <w:r>
        <w:rPr>
          <w:color w:val="44687A"/>
          <w:spacing w:val="-2"/>
        </w:rPr>
        <w:t> </w:t>
      </w:r>
      <w:r>
        <w:rPr>
          <w:color w:val="44687A"/>
        </w:rPr>
        <w:t>in</w:t>
      </w:r>
      <w:r>
        <w:rPr>
          <w:color w:val="44687A"/>
          <w:spacing w:val="-1"/>
        </w:rPr>
        <w:t> </w:t>
      </w:r>
      <w:r>
        <w:rPr>
          <w:color w:val="44687A"/>
        </w:rPr>
        <w:t>creating</w:t>
      </w:r>
      <w:r>
        <w:rPr>
          <w:color w:val="44687A"/>
          <w:spacing w:val="-4"/>
        </w:rPr>
        <w:t> </w:t>
      </w:r>
      <w:r>
        <w:rPr>
          <w:color w:val="44687A"/>
        </w:rPr>
        <w:t>a</w:t>
      </w:r>
      <w:r>
        <w:rPr>
          <w:color w:val="44687A"/>
          <w:spacing w:val="1"/>
        </w:rPr>
        <w:t> </w:t>
      </w:r>
      <w:r>
        <w:rPr>
          <w:color w:val="44687A"/>
        </w:rPr>
        <w:t>safe</w:t>
      </w:r>
      <w:r>
        <w:rPr>
          <w:color w:val="44687A"/>
          <w:spacing w:val="-2"/>
        </w:rPr>
        <w:t> </w:t>
      </w:r>
      <w:r>
        <w:rPr>
          <w:color w:val="44687A"/>
        </w:rPr>
        <w:t>community?</w:t>
      </w:r>
    </w:p>
    <w:p>
      <w:pPr>
        <w:pStyle w:val="BodyText"/>
        <w:spacing w:line="288" w:lineRule="auto" w:before="188"/>
        <w:ind w:left="109" w:right="129"/>
      </w:pPr>
      <w:r>
        <w:rPr>
          <w:color w:val="4C4D4F"/>
        </w:rPr>
        <w:t>Increasing community safety requires a focus on the natural and built environment as well as on</w:t>
      </w:r>
      <w:r>
        <w:rPr>
          <w:color w:val="4C4D4F"/>
          <w:spacing w:val="1"/>
        </w:rPr>
        <w:t> </w:t>
      </w:r>
      <w:r>
        <w:rPr>
          <w:color w:val="4C4D4F"/>
        </w:rPr>
        <w:t>cultural, social and economic factors that impact on community safety, crime, health and wellbeing.</w:t>
      </w:r>
      <w:r>
        <w:rPr>
          <w:color w:val="4C4D4F"/>
          <w:spacing w:val="-60"/>
        </w:rPr>
        <w:t> </w:t>
      </w:r>
      <w:r>
        <w:rPr>
          <w:color w:val="4C4D4F"/>
        </w:rPr>
        <w:t>The</w:t>
      </w:r>
      <w:r>
        <w:rPr>
          <w:color w:val="4C4D4F"/>
          <w:spacing w:val="-1"/>
        </w:rPr>
        <w:t> </w:t>
      </w:r>
      <w:r>
        <w:rPr>
          <w:color w:val="4C4D4F"/>
        </w:rPr>
        <w:t>City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2"/>
        </w:rPr>
        <w:t> </w:t>
      </w:r>
      <w:r>
        <w:rPr>
          <w:color w:val="4C4D4F"/>
        </w:rPr>
        <w:t>Port</w:t>
      </w:r>
      <w:r>
        <w:rPr>
          <w:color w:val="4C4D4F"/>
          <w:spacing w:val="-1"/>
        </w:rPr>
        <w:t> </w:t>
      </w:r>
      <w:r>
        <w:rPr>
          <w:color w:val="4C4D4F"/>
        </w:rPr>
        <w:t>Phillip</w:t>
      </w:r>
      <w:r>
        <w:rPr>
          <w:color w:val="4C4D4F"/>
          <w:spacing w:val="-1"/>
        </w:rPr>
        <w:t> </w:t>
      </w:r>
      <w:r>
        <w:rPr>
          <w:color w:val="4C4D4F"/>
        </w:rPr>
        <w:t>contributes</w:t>
      </w:r>
      <w:r>
        <w:rPr>
          <w:color w:val="4C4D4F"/>
          <w:spacing w:val="-1"/>
        </w:rPr>
        <w:t> </w:t>
      </w:r>
      <w:r>
        <w:rPr>
          <w:color w:val="4C4D4F"/>
        </w:rPr>
        <w:t>to</w:t>
      </w:r>
      <w:r>
        <w:rPr>
          <w:color w:val="4C4D4F"/>
          <w:spacing w:val="-5"/>
        </w:rPr>
        <w:t> </w:t>
      </w:r>
      <w:r>
        <w:rPr>
          <w:color w:val="4C4D4F"/>
        </w:rPr>
        <w:t>the safety</w:t>
      </w:r>
      <w:r>
        <w:rPr>
          <w:color w:val="4C4D4F"/>
          <w:spacing w:val="-1"/>
        </w:rPr>
        <w:t> </w:t>
      </w:r>
      <w:r>
        <w:rPr>
          <w:color w:val="4C4D4F"/>
        </w:rPr>
        <w:t>of</w:t>
      </w:r>
      <w:r>
        <w:rPr>
          <w:color w:val="4C4D4F"/>
          <w:spacing w:val="-1"/>
        </w:rPr>
        <w:t> </w:t>
      </w:r>
      <w:r>
        <w:rPr>
          <w:color w:val="4C4D4F"/>
        </w:rPr>
        <w:t>the community in</w:t>
      </w:r>
      <w:r>
        <w:rPr>
          <w:color w:val="4C4D4F"/>
          <w:spacing w:val="-2"/>
        </w:rPr>
        <w:t> </w:t>
      </w:r>
      <w:r>
        <w:rPr>
          <w:color w:val="4C4D4F"/>
        </w:rPr>
        <w:t>a</w:t>
      </w:r>
      <w:r>
        <w:rPr>
          <w:color w:val="4C4D4F"/>
          <w:spacing w:val="-1"/>
        </w:rPr>
        <w:t> </w:t>
      </w:r>
      <w:r>
        <w:rPr>
          <w:color w:val="4C4D4F"/>
        </w:rPr>
        <w:t>number</w:t>
      </w:r>
      <w:r>
        <w:rPr>
          <w:color w:val="4C4D4F"/>
          <w:spacing w:val="-1"/>
        </w:rPr>
        <w:t> </w:t>
      </w:r>
      <w:r>
        <w:rPr>
          <w:color w:val="4C4D4F"/>
        </w:rPr>
        <w:t>of ways.</w:t>
      </w:r>
    </w:p>
    <w:p>
      <w:pPr>
        <w:pStyle w:val="BodyText"/>
        <w:spacing w:before="3"/>
        <w:ind w:left="0"/>
        <w:rPr>
          <w:sz w:val="24"/>
        </w:rPr>
      </w:pPr>
    </w:p>
    <w:p>
      <w:pPr>
        <w:pStyle w:val="BodyText"/>
        <w:ind w:left="109" w:right="851"/>
      </w:pPr>
      <w:r>
        <w:rPr>
          <w:color w:val="4C4D4F"/>
        </w:rPr>
        <w:t>In the first instance, the City of Port Phillip is responsible for using its regulatory functions to</w:t>
      </w:r>
      <w:r>
        <w:rPr>
          <w:color w:val="4C4D4F"/>
          <w:spacing w:val="-59"/>
        </w:rPr>
        <w:t> </w:t>
      </w:r>
      <w:r>
        <w:rPr>
          <w:color w:val="4C4D4F"/>
        </w:rPr>
        <w:t>promote</w:t>
      </w:r>
      <w:r>
        <w:rPr>
          <w:color w:val="4C4D4F"/>
          <w:spacing w:val="-1"/>
        </w:rPr>
        <w:t> </w:t>
      </w:r>
      <w:r>
        <w:rPr>
          <w:color w:val="4C4D4F"/>
        </w:rPr>
        <w:t>and</w:t>
      </w:r>
      <w:r>
        <w:rPr>
          <w:color w:val="4C4D4F"/>
          <w:spacing w:val="-2"/>
        </w:rPr>
        <w:t> </w:t>
      </w:r>
      <w:r>
        <w:rPr>
          <w:color w:val="4C4D4F"/>
        </w:rPr>
        <w:t>maintain</w:t>
      </w:r>
      <w:r>
        <w:rPr>
          <w:color w:val="4C4D4F"/>
          <w:spacing w:val="-1"/>
        </w:rPr>
        <w:t> </w:t>
      </w:r>
      <w:r>
        <w:rPr>
          <w:color w:val="4C4D4F"/>
        </w:rPr>
        <w:t>safety</w:t>
      </w:r>
      <w:r>
        <w:rPr>
          <w:color w:val="4C4D4F"/>
          <w:spacing w:val="-1"/>
        </w:rPr>
        <w:t> </w:t>
      </w:r>
      <w:r>
        <w:rPr>
          <w:color w:val="4C4D4F"/>
        </w:rPr>
        <w:t>in our</w:t>
      </w:r>
      <w:r>
        <w:rPr>
          <w:color w:val="4C4D4F"/>
          <w:spacing w:val="-1"/>
        </w:rPr>
        <w:t> </w:t>
      </w:r>
      <w:r>
        <w:rPr>
          <w:color w:val="4C4D4F"/>
        </w:rPr>
        <w:t>community. This</w:t>
      </w:r>
      <w:r>
        <w:rPr>
          <w:color w:val="4C4D4F"/>
          <w:spacing w:val="2"/>
        </w:rPr>
        <w:t> </w:t>
      </w:r>
      <w:r>
        <w:rPr>
          <w:color w:val="4C4D4F"/>
        </w:rPr>
        <w:t>includes:</w:t>
      </w: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3" w:lineRule="auto" w:before="0" w:after="0"/>
        <w:ind w:left="829" w:right="194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Managing waste, graffiti removal, street lighting, footpaths, bike lanes, parks, traffic speeds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and road design, parking, and recreational spaces in public areas. Use planning controls to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ensure the safety of buildings and infrastructure and regulate their use. For example,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licencing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 monitoring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noise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impact in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venues.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3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Management 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permitting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of public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events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public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art.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30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Promoting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responsible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pet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ownership.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78" w:lineRule="auto" w:before="165" w:after="0"/>
        <w:ind w:left="830" w:right="1007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Establishing outdoor alcohol restrictions in partnership with Victoria Police who are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responsible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for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enforcing.</w:t>
      </w:r>
    </w:p>
    <w:p>
      <w:pPr>
        <w:pStyle w:val="BodyText"/>
        <w:spacing w:line="288" w:lineRule="auto" w:before="131"/>
        <w:ind w:left="110" w:right="177"/>
      </w:pPr>
      <w:r>
        <w:rPr>
          <w:color w:val="4C4D4F"/>
        </w:rPr>
        <w:t>In addition to our regulatory responsibilities, the City of Port Phillip develops policies and programs</w:t>
      </w:r>
      <w:r>
        <w:rPr>
          <w:color w:val="4C4D4F"/>
          <w:spacing w:val="-59"/>
        </w:rPr>
        <w:t> </w:t>
      </w:r>
      <w:r>
        <w:rPr>
          <w:color w:val="4C4D4F"/>
        </w:rPr>
        <w:t>that strengthen the community to prevent crime, injury and ill-health, and to foster positive social</w:t>
      </w:r>
      <w:r>
        <w:rPr>
          <w:color w:val="4C4D4F"/>
          <w:spacing w:val="1"/>
        </w:rPr>
        <w:t> </w:t>
      </w:r>
      <w:r>
        <w:rPr>
          <w:color w:val="4C4D4F"/>
        </w:rPr>
        <w:t>change.</w:t>
      </w:r>
      <w:r>
        <w:rPr>
          <w:color w:val="4C4D4F"/>
          <w:spacing w:val="-1"/>
        </w:rPr>
        <w:t> </w:t>
      </w:r>
      <w:r>
        <w:rPr>
          <w:color w:val="4C4D4F"/>
        </w:rPr>
        <w:t>Our priority</w:t>
      </w:r>
      <w:r>
        <w:rPr>
          <w:color w:val="4C4D4F"/>
          <w:spacing w:val="1"/>
        </w:rPr>
        <w:t> </w:t>
      </w:r>
      <w:r>
        <w:rPr>
          <w:color w:val="4C4D4F"/>
        </w:rPr>
        <w:t>areas include: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19" w:after="0"/>
        <w:ind w:left="829" w:right="336" w:hanging="360"/>
        <w:jc w:val="left"/>
        <w:rPr>
          <w:rFonts w:ascii="Symbol" w:hAnsi="Symbol"/>
          <w:color w:val="4C4D4F"/>
          <w:sz w:val="20"/>
        </w:rPr>
      </w:pPr>
      <w:r>
        <w:rPr>
          <w:b/>
          <w:color w:val="4C4D4F"/>
          <w:sz w:val="22"/>
        </w:rPr>
        <w:t>Creating Safe Spaces </w:t>
      </w:r>
      <w:r>
        <w:rPr>
          <w:color w:val="4C4D4F"/>
          <w:sz w:val="22"/>
        </w:rPr>
        <w:t>that are vibrant and welcoming environments that can be enjoyed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by all, both day and night. In particular, we work with our partners to increase actual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perceived safety in public places through design and management of our streets, network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of walking paths and bike corridors, entertainment precincts, the foreshore, parks and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outdoor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spaces,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lighting,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graffiti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waste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removal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sensitive</w:t>
      </w:r>
      <w:r>
        <w:rPr>
          <w:color w:val="4C4D4F"/>
          <w:spacing w:val="-8"/>
          <w:sz w:val="22"/>
        </w:rPr>
        <w:t> </w:t>
      </w:r>
      <w:r>
        <w:rPr>
          <w:color w:val="4C4D4F"/>
          <w:sz w:val="22"/>
        </w:rPr>
        <w:t>CCTV.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19" w:after="0"/>
        <w:ind w:left="829" w:right="707" w:hanging="360"/>
        <w:jc w:val="left"/>
        <w:rPr>
          <w:rFonts w:ascii="Symbol" w:hAnsi="Symbol"/>
          <w:color w:val="4C4D4F"/>
          <w:sz w:val="20"/>
        </w:rPr>
      </w:pPr>
      <w:r>
        <w:rPr>
          <w:b/>
          <w:color w:val="4C4D4F"/>
          <w:sz w:val="22"/>
        </w:rPr>
        <w:t>Building Resilience: </w:t>
      </w:r>
      <w:r>
        <w:rPr>
          <w:color w:val="4C4D4F"/>
          <w:sz w:val="22"/>
        </w:rPr>
        <w:t>We work with local businesses, organisations, and community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members to create a welcoming, inclusive, resilient community that supports the most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vulnerable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feel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be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safe.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21" w:after="0"/>
        <w:ind w:left="829" w:right="180" w:hanging="360"/>
        <w:jc w:val="left"/>
        <w:rPr>
          <w:rFonts w:ascii="Symbol" w:hAnsi="Symbol"/>
          <w:color w:val="4C4D4F"/>
          <w:sz w:val="20"/>
        </w:rPr>
      </w:pPr>
      <w:r>
        <w:rPr>
          <w:b/>
          <w:color w:val="4C4D4F"/>
          <w:sz w:val="22"/>
        </w:rPr>
        <w:t>Healthy Living</w:t>
      </w:r>
      <w:r>
        <w:rPr>
          <w:rFonts w:ascii="Times New Roman" w:hAnsi="Times New Roman"/>
          <w:b/>
          <w:color w:val="4C4D4F"/>
          <w:sz w:val="20"/>
        </w:rPr>
        <w:t>: </w:t>
      </w:r>
      <w:r>
        <w:rPr>
          <w:color w:val="4C4D4F"/>
          <w:sz w:val="22"/>
        </w:rPr>
        <w:t>We support our community to realise their health potential through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promoting social connectedness without a focus on alcohol. We also contribute to the effort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reduce alcohol 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drug-related</w:t>
      </w:r>
      <w:r>
        <w:rPr>
          <w:color w:val="4C4D4F"/>
          <w:spacing w:val="-9"/>
          <w:sz w:val="22"/>
        </w:rPr>
        <w:t> </w:t>
      </w:r>
      <w:r>
        <w:rPr>
          <w:color w:val="4C4D4F"/>
          <w:sz w:val="22"/>
        </w:rPr>
        <w:t>harm.</w:t>
      </w:r>
    </w:p>
    <w:p>
      <w:pPr>
        <w:pStyle w:val="BodyText"/>
        <w:spacing w:before="9"/>
        <w:ind w:left="0"/>
        <w:rPr>
          <w:sz w:val="20"/>
        </w:rPr>
      </w:pPr>
    </w:p>
    <w:p>
      <w:pPr>
        <w:pStyle w:val="BodyText"/>
        <w:ind w:left="109"/>
      </w:pP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addition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3"/>
        </w:rPr>
        <w:t> </w:t>
      </w:r>
      <w:r>
        <w:rPr>
          <w:color w:val="4C4D4F"/>
        </w:rPr>
        <w:t>this,</w:t>
      </w:r>
      <w:r>
        <w:rPr>
          <w:color w:val="4C4D4F"/>
          <w:spacing w:val="-1"/>
        </w:rPr>
        <w:t> </w:t>
      </w:r>
      <w:r>
        <w:rPr>
          <w:color w:val="4C4D4F"/>
        </w:rPr>
        <w:t>Port</w:t>
      </w:r>
      <w:r>
        <w:rPr>
          <w:color w:val="4C4D4F"/>
          <w:spacing w:val="1"/>
        </w:rPr>
        <w:t> </w:t>
      </w:r>
      <w:r>
        <w:rPr>
          <w:color w:val="4C4D4F"/>
        </w:rPr>
        <w:t>Phillip</w:t>
      </w:r>
      <w:r>
        <w:rPr>
          <w:color w:val="4C4D4F"/>
          <w:spacing w:val="-1"/>
        </w:rPr>
        <w:t> </w:t>
      </w:r>
      <w:r>
        <w:rPr>
          <w:color w:val="4C4D4F"/>
        </w:rPr>
        <w:t>has</w:t>
      </w:r>
      <w:r>
        <w:rPr>
          <w:color w:val="4C4D4F"/>
          <w:spacing w:val="-1"/>
        </w:rPr>
        <w:t> </w:t>
      </w:r>
      <w:r>
        <w:rPr>
          <w:color w:val="4C4D4F"/>
        </w:rPr>
        <w:t>a role</w:t>
      </w:r>
      <w:r>
        <w:rPr>
          <w:color w:val="4C4D4F"/>
          <w:spacing w:val="-3"/>
        </w:rPr>
        <w:t> </w:t>
      </w:r>
      <w:r>
        <w:rPr>
          <w:color w:val="4C4D4F"/>
        </w:rPr>
        <w:t>to</w:t>
      </w:r>
      <w:r>
        <w:rPr>
          <w:color w:val="4C4D4F"/>
          <w:spacing w:val="-1"/>
        </w:rPr>
        <w:t> </w:t>
      </w:r>
      <w:r>
        <w:rPr>
          <w:color w:val="4C4D4F"/>
        </w:rPr>
        <w:t>play</w:t>
      </w:r>
      <w:r>
        <w:rPr>
          <w:color w:val="4C4D4F"/>
          <w:spacing w:val="-1"/>
        </w:rPr>
        <w:t> </w:t>
      </w:r>
      <w:r>
        <w:rPr>
          <w:color w:val="4C4D4F"/>
        </w:rPr>
        <w:t>in:</w:t>
      </w:r>
    </w:p>
    <w:p>
      <w:pPr>
        <w:pStyle w:val="BodyText"/>
        <w:spacing w:before="2"/>
        <w:ind w:left="0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76" w:lineRule="auto" w:before="0" w:after="0"/>
        <w:ind w:left="829" w:right="951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Tracking crime trends and community perceptions of safety to identify priorities and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emerging</w:t>
      </w:r>
      <w:r>
        <w:rPr>
          <w:color w:val="4C4D4F"/>
          <w:spacing w:val="-5"/>
          <w:sz w:val="22"/>
        </w:rPr>
        <w:t> </w:t>
      </w:r>
      <w:r>
        <w:rPr>
          <w:color w:val="4C4D4F"/>
          <w:sz w:val="22"/>
        </w:rPr>
        <w:t>risks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78" w:lineRule="auto" w:before="136" w:after="0"/>
        <w:ind w:left="829" w:right="263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Evaluating CCTV, undertaking safety audits and implementing crime prevention measures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such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environmental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design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78" w:lineRule="auto" w:before="130" w:after="0"/>
        <w:ind w:left="829" w:right="782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Working collaboratively with government agencies, community service organisations,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members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 traders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identify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respond to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priority</w:t>
      </w:r>
      <w:r>
        <w:rPr>
          <w:color w:val="4C4D4F"/>
          <w:spacing w:val="-13"/>
          <w:sz w:val="22"/>
        </w:rPr>
        <w:t> </w:t>
      </w:r>
      <w:r>
        <w:rPr>
          <w:color w:val="4C4D4F"/>
          <w:sz w:val="22"/>
        </w:rPr>
        <w:t>issues</w:t>
      </w:r>
    </w:p>
    <w:p>
      <w:pPr>
        <w:spacing w:after="0" w:line="278" w:lineRule="auto"/>
        <w:jc w:val="left"/>
        <w:rPr>
          <w:rFonts w:ascii="Symbol" w:hAnsi="Symbol"/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88" w:lineRule="auto" w:before="145" w:after="0"/>
        <w:ind w:left="829" w:right="131" w:hanging="360"/>
        <w:jc w:val="left"/>
        <w:rPr>
          <w:rFonts w:ascii="Symbol" w:hAnsi="Symbol"/>
          <w:color w:val="4C4D4F"/>
          <w:sz w:val="20"/>
        </w:rPr>
      </w:pPr>
      <w:r>
        <w:rPr>
          <w:color w:val="4C4D4F"/>
          <w:sz w:val="22"/>
        </w:rPr>
        <w:t>Encouraging residents, visitors, and local traders to take shared responsibility maintaining a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safe community by respecting public spaces, disposing of waste appropriately, managing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pets</w:t>
      </w:r>
      <w:r>
        <w:rPr>
          <w:color w:val="4C4D4F"/>
          <w:spacing w:val="-2"/>
          <w:sz w:val="22"/>
        </w:rPr>
        <w:t> </w:t>
      </w:r>
      <w:r>
        <w:rPr>
          <w:color w:val="4C4D4F"/>
          <w:spacing w:val="-1"/>
          <w:sz w:val="22"/>
        </w:rPr>
        <w:t>responsibly,</w:t>
      </w:r>
      <w:r>
        <w:rPr>
          <w:color w:val="4C4D4F"/>
          <w:sz w:val="22"/>
        </w:rPr>
        <w:t> </w:t>
      </w:r>
      <w:r>
        <w:rPr>
          <w:color w:val="4C4D4F"/>
          <w:spacing w:val="-1"/>
          <w:sz w:val="22"/>
        </w:rPr>
        <w:t>being</w:t>
      </w:r>
      <w:r>
        <w:rPr>
          <w:color w:val="4C4D4F"/>
          <w:spacing w:val="1"/>
          <w:sz w:val="22"/>
        </w:rPr>
        <w:t> </w:t>
      </w:r>
      <w:r>
        <w:rPr>
          <w:color w:val="4C4D4F"/>
          <w:spacing w:val="-1"/>
          <w:sz w:val="22"/>
        </w:rPr>
        <w:t>courteous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toward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fellow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members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reporting</w:t>
      </w:r>
      <w:r>
        <w:rPr>
          <w:color w:val="4C4D4F"/>
          <w:spacing w:val="-22"/>
          <w:sz w:val="22"/>
        </w:rPr>
        <w:t> </w:t>
      </w:r>
      <w:r>
        <w:rPr>
          <w:color w:val="4C4D4F"/>
          <w:sz w:val="22"/>
        </w:rPr>
        <w:t>crime.</w:t>
      </w:r>
    </w:p>
    <w:p>
      <w:pPr>
        <w:pStyle w:val="BodyText"/>
        <w:spacing w:before="3"/>
        <w:ind w:left="0"/>
        <w:rPr>
          <w:sz w:val="34"/>
        </w:rPr>
      </w:pPr>
    </w:p>
    <w:p>
      <w:pPr>
        <w:pStyle w:val="Heading1"/>
      </w:pPr>
      <w:r>
        <w:rPr>
          <w:color w:val="44687A"/>
        </w:rPr>
        <w:t>Who</w:t>
      </w:r>
      <w:r>
        <w:rPr>
          <w:color w:val="44687A"/>
          <w:spacing w:val="-2"/>
        </w:rPr>
        <w:t> </w:t>
      </w:r>
      <w:r>
        <w:rPr>
          <w:color w:val="44687A"/>
        </w:rPr>
        <w:t>are</w:t>
      </w:r>
      <w:r>
        <w:rPr>
          <w:color w:val="44687A"/>
          <w:spacing w:val="-2"/>
        </w:rPr>
        <w:t> </w:t>
      </w:r>
      <w:r>
        <w:rPr>
          <w:color w:val="44687A"/>
        </w:rPr>
        <w:t>our partners?</w:t>
      </w:r>
    </w:p>
    <w:p>
      <w:pPr>
        <w:pStyle w:val="BodyText"/>
        <w:spacing w:line="288" w:lineRule="auto" w:before="188"/>
        <w:ind w:left="109" w:right="150"/>
      </w:pPr>
      <w:r>
        <w:rPr>
          <w:color w:val="4C4D4F"/>
        </w:rPr>
        <w:t>Community safety is the responsibility of all levels of government, community service</w:t>
      </w:r>
      <w:r>
        <w:rPr>
          <w:color w:val="4C4D4F"/>
          <w:spacing w:val="1"/>
        </w:rPr>
        <w:t> </w:t>
      </w:r>
      <w:r>
        <w:rPr>
          <w:color w:val="4C4D4F"/>
        </w:rPr>
        <w:t>organisations, business owners and community members. Safety is determined by a range of</w:t>
      </w:r>
      <w:r>
        <w:rPr>
          <w:color w:val="4C4D4F"/>
          <w:spacing w:val="1"/>
        </w:rPr>
        <w:t> </w:t>
      </w:r>
      <w:r>
        <w:rPr>
          <w:color w:val="4C4D4F"/>
        </w:rPr>
        <w:t>complex environmental, social and economic factors. No one organisation can solve complex</w:t>
      </w:r>
      <w:r>
        <w:rPr>
          <w:color w:val="4C4D4F"/>
          <w:spacing w:val="1"/>
        </w:rPr>
        <w:t> </w:t>
      </w:r>
      <w:r>
        <w:rPr>
          <w:color w:val="4C4D4F"/>
        </w:rPr>
        <w:t>safety issues in isolation. The City of Port Phillip works collaboratively to continually improve safety</w:t>
      </w:r>
      <w:r>
        <w:rPr>
          <w:color w:val="4C4D4F"/>
          <w:spacing w:val="-59"/>
        </w:rPr>
        <w:t> </w:t>
      </w:r>
      <w:r>
        <w:rPr>
          <w:color w:val="4C4D4F"/>
        </w:rPr>
        <w:t>in</w:t>
      </w:r>
      <w:r>
        <w:rPr>
          <w:color w:val="4C4D4F"/>
          <w:spacing w:val="-1"/>
        </w:rPr>
        <w:t> </w:t>
      </w:r>
      <w:r>
        <w:rPr>
          <w:color w:val="4C4D4F"/>
        </w:rPr>
        <w:t>our</w:t>
      </w:r>
      <w:r>
        <w:rPr>
          <w:color w:val="4C4D4F"/>
          <w:spacing w:val="2"/>
        </w:rPr>
        <w:t> </w:t>
      </w:r>
      <w:r>
        <w:rPr>
          <w:color w:val="4C4D4F"/>
        </w:rPr>
        <w:t>community.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21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Star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Health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Victoria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Police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Transport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Accident</w:t>
      </w:r>
      <w:r>
        <w:rPr>
          <w:color w:val="4C4D4F"/>
          <w:spacing w:val="2"/>
          <w:sz w:val="22"/>
        </w:rPr>
        <w:t> </w:t>
      </w:r>
      <w:r>
        <w:rPr>
          <w:color w:val="4C4D4F"/>
          <w:sz w:val="22"/>
        </w:rPr>
        <w:t>Commission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8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Health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Human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Services</w:t>
      </w:r>
    </w:p>
    <w:p>
      <w:pPr>
        <w:pStyle w:val="ListParagraph"/>
        <w:numPr>
          <w:ilvl w:val="1"/>
          <w:numId w:val="1"/>
        </w:numPr>
        <w:tabs>
          <w:tab w:pos="829" w:val="left" w:leader="none"/>
          <w:tab w:pos="830" w:val="left" w:leader="none"/>
        </w:tabs>
        <w:spacing w:line="240" w:lineRule="auto" w:before="167" w:after="0"/>
        <w:ind w:left="829" w:right="0" w:hanging="361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Department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Justice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and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Community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Safety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40" w:lineRule="auto" w:before="165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11"/>
          <w:sz w:val="22"/>
        </w:rPr>
        <w:t> </w:t>
      </w:r>
      <w:r>
        <w:rPr>
          <w:color w:val="4C4D4F"/>
          <w:sz w:val="22"/>
        </w:rPr>
        <w:t>Organisations</w:t>
      </w:r>
    </w:p>
    <w:p>
      <w:pPr>
        <w:pStyle w:val="ListParagraph"/>
        <w:numPr>
          <w:ilvl w:val="1"/>
          <w:numId w:val="1"/>
        </w:numPr>
        <w:tabs>
          <w:tab w:pos="830" w:val="left" w:leader="none"/>
          <w:tab w:pos="831" w:val="left" w:leader="none"/>
        </w:tabs>
        <w:spacing w:line="240" w:lineRule="auto" w:before="167" w:after="0"/>
        <w:ind w:left="830" w:right="0" w:hanging="362"/>
        <w:jc w:val="left"/>
        <w:rPr>
          <w:rFonts w:ascii="Symbol" w:hAnsi="Symbol"/>
          <w:color w:val="4C4D4F"/>
          <w:sz w:val="22"/>
        </w:rPr>
      </w:pPr>
      <w:r>
        <w:rPr>
          <w:color w:val="4C4D4F"/>
          <w:sz w:val="22"/>
        </w:rPr>
        <w:t>Community</w:t>
      </w:r>
      <w:r>
        <w:rPr>
          <w:color w:val="4C4D4F"/>
          <w:spacing w:val="-7"/>
          <w:sz w:val="22"/>
        </w:rPr>
        <w:t> </w:t>
      </w:r>
      <w:r>
        <w:rPr>
          <w:color w:val="4C4D4F"/>
          <w:sz w:val="22"/>
        </w:rPr>
        <w:t>Members</w:t>
      </w:r>
    </w:p>
    <w:p>
      <w:pPr>
        <w:pStyle w:val="BodyText"/>
        <w:ind w:left="0"/>
        <w:rPr>
          <w:sz w:val="26"/>
        </w:rPr>
      </w:pPr>
    </w:p>
    <w:p>
      <w:pPr>
        <w:pStyle w:val="Heading1"/>
        <w:spacing w:before="168"/>
      </w:pPr>
      <w:r>
        <w:rPr>
          <w:color w:val="44687A"/>
        </w:rPr>
        <w:t>What</w:t>
      </w:r>
      <w:r>
        <w:rPr>
          <w:color w:val="44687A"/>
          <w:spacing w:val="-1"/>
        </w:rPr>
        <w:t> </w:t>
      </w:r>
      <w:r>
        <w:rPr>
          <w:color w:val="44687A"/>
        </w:rPr>
        <w:t>may</w:t>
      </w:r>
      <w:r>
        <w:rPr>
          <w:color w:val="44687A"/>
          <w:spacing w:val="-1"/>
        </w:rPr>
        <w:t> </w:t>
      </w:r>
      <w:r>
        <w:rPr>
          <w:color w:val="44687A"/>
        </w:rPr>
        <w:t>change</w:t>
      </w:r>
      <w:r>
        <w:rPr>
          <w:color w:val="44687A"/>
          <w:spacing w:val="-1"/>
        </w:rPr>
        <w:t> </w:t>
      </w:r>
      <w:r>
        <w:rPr>
          <w:color w:val="44687A"/>
        </w:rPr>
        <w:t>over</w:t>
      </w:r>
      <w:r>
        <w:rPr>
          <w:color w:val="44687A"/>
          <w:spacing w:val="-1"/>
        </w:rPr>
        <w:t> </w:t>
      </w:r>
      <w:r>
        <w:rPr>
          <w:color w:val="44687A"/>
        </w:rPr>
        <w:t>the</w:t>
      </w:r>
      <w:r>
        <w:rPr>
          <w:color w:val="44687A"/>
          <w:spacing w:val="-3"/>
        </w:rPr>
        <w:t> </w:t>
      </w:r>
      <w:r>
        <w:rPr>
          <w:color w:val="44687A"/>
        </w:rPr>
        <w:t>next</w:t>
      </w:r>
      <w:r>
        <w:rPr>
          <w:color w:val="44687A"/>
          <w:spacing w:val="-3"/>
        </w:rPr>
        <w:t> </w:t>
      </w:r>
      <w:r>
        <w:rPr>
          <w:color w:val="44687A"/>
        </w:rPr>
        <w:t>five</w:t>
      </w:r>
      <w:r>
        <w:rPr>
          <w:color w:val="44687A"/>
          <w:spacing w:val="-4"/>
        </w:rPr>
        <w:t> </w:t>
      </w:r>
      <w:r>
        <w:rPr>
          <w:color w:val="44687A"/>
        </w:rPr>
        <w:t>years?</w:t>
      </w:r>
    </w:p>
    <w:p>
      <w:pPr>
        <w:pStyle w:val="BodyText"/>
        <w:spacing w:line="288" w:lineRule="auto" w:before="190"/>
        <w:ind w:left="109" w:right="251"/>
      </w:pPr>
      <w:r>
        <w:rPr>
          <w:color w:val="4C4D4F"/>
        </w:rPr>
        <w:t>As a consequence of COVID-19 it is likely that we will experience a declining economy, increased</w:t>
      </w:r>
      <w:r>
        <w:rPr>
          <w:color w:val="4C4D4F"/>
          <w:spacing w:val="-59"/>
        </w:rPr>
        <w:t> </w:t>
      </w:r>
      <w:r>
        <w:rPr>
          <w:color w:val="4C4D4F"/>
        </w:rPr>
        <w:t>levels of poverty, social marginalisation and inequality. This may result in escalating levels of</w:t>
      </w:r>
      <w:r>
        <w:rPr>
          <w:color w:val="4C4D4F"/>
          <w:spacing w:val="1"/>
        </w:rPr>
        <w:t> </w:t>
      </w:r>
      <w:r>
        <w:rPr>
          <w:color w:val="4C4D4F"/>
        </w:rPr>
        <w:t>crime,</w:t>
      </w:r>
      <w:r>
        <w:rPr>
          <w:color w:val="4C4D4F"/>
          <w:spacing w:val="-1"/>
        </w:rPr>
        <w:t> </w:t>
      </w:r>
      <w:r>
        <w:rPr>
          <w:color w:val="4C4D4F"/>
        </w:rPr>
        <w:t>including family violence.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</w:pPr>
    </w:p>
    <w:p>
      <w:pPr>
        <w:pStyle w:val="Heading1"/>
      </w:pPr>
      <w:r>
        <w:rPr>
          <w:color w:val="44687A"/>
        </w:rPr>
        <w:t>References</w:t>
      </w:r>
    </w:p>
    <w:p>
      <w:pPr>
        <w:spacing w:before="243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Australian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Bureau</w:t>
      </w:r>
      <w:r>
        <w:rPr>
          <w:color w:val="4C4D4F"/>
          <w:spacing w:val="-4"/>
          <w:sz w:val="22"/>
        </w:rPr>
        <w:t> </w:t>
      </w:r>
      <w:r>
        <w:rPr>
          <w:color w:val="4C4D4F"/>
          <w:sz w:val="22"/>
        </w:rPr>
        <w:t>of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Statistics, 2017. </w:t>
      </w:r>
      <w:r>
        <w:rPr>
          <w:i/>
          <w:color w:val="4C4D4F"/>
          <w:sz w:val="22"/>
        </w:rPr>
        <w:t>Personal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Safety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Survey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2012: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4906.0,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Canberra:</w:t>
      </w:r>
      <w:r>
        <w:rPr>
          <w:color w:val="4C4D4F"/>
          <w:spacing w:val="-3"/>
          <w:sz w:val="22"/>
        </w:rPr>
        <w:t> </w:t>
      </w:r>
      <w:r>
        <w:rPr>
          <w:color w:val="4C4D4F"/>
          <w:sz w:val="22"/>
        </w:rPr>
        <w:t>ABS.</w:t>
      </w:r>
    </w:p>
    <w:p>
      <w:pPr>
        <w:spacing w:line="288" w:lineRule="auto" w:before="172"/>
        <w:ind w:left="109" w:right="1462" w:firstLine="0"/>
        <w:jc w:val="left"/>
        <w:rPr>
          <w:sz w:val="22"/>
        </w:rPr>
      </w:pPr>
      <w:r>
        <w:rPr>
          <w:color w:val="4C4D4F"/>
          <w:sz w:val="22"/>
        </w:rPr>
        <w:t>Australian Human Rights Commission, 2012. </w:t>
      </w:r>
      <w:r>
        <w:rPr>
          <w:i/>
          <w:color w:val="4C4D4F"/>
          <w:sz w:val="22"/>
        </w:rPr>
        <w:t>Violence, Harassment and Bullying and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Homelessness.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/>
        <w:ind w:left="109" w:right="349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https://humanrights.gov.au/our-work/commission-general/violence-harassment-and-</w:t>
      </w:r>
      <w:r>
        <w:rPr>
          <w:color w:val="4C4D4F"/>
          <w:spacing w:val="-59"/>
        </w:rPr>
        <w:t> </w:t>
      </w:r>
      <w:r>
        <w:rPr>
          <w:color w:val="4C4D4F"/>
          <w:u w:val="single" w:color="4C4D4F"/>
        </w:rPr>
        <w:t>bullying-and-homelessness#fn15</w:t>
      </w:r>
    </w:p>
    <w:p>
      <w:pPr>
        <w:pStyle w:val="BodyText"/>
        <w:ind w:left="109"/>
      </w:pP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01</w:t>
      </w:r>
      <w:r>
        <w:rPr>
          <w:color w:val="4C4D4F"/>
          <w:spacing w:val="-1"/>
        </w:rPr>
        <w:t> </w:t>
      </w:r>
      <w:r>
        <w:rPr>
          <w:color w:val="4C4D4F"/>
        </w:rPr>
        <w:t>01</w:t>
      </w:r>
      <w:r>
        <w:rPr>
          <w:color w:val="4C4D4F"/>
          <w:spacing w:val="-3"/>
        </w:rPr>
        <w:t> </w:t>
      </w:r>
      <w:r>
        <w:rPr>
          <w:color w:val="4C4D4F"/>
        </w:rPr>
        <w:t>2020].</w:t>
      </w:r>
    </w:p>
    <w:p>
      <w:pPr>
        <w:pStyle w:val="BodyText"/>
        <w:spacing w:line="288" w:lineRule="auto" w:before="169"/>
        <w:ind w:left="109" w:right="1217"/>
        <w:jc w:val="both"/>
      </w:pPr>
      <w:r>
        <w:rPr>
          <w:color w:val="4C4D4F"/>
        </w:rPr>
        <w:t>Australian Safe Communities Foundation, 2013. </w:t>
      </w:r>
      <w:r>
        <w:rPr>
          <w:i/>
          <w:color w:val="4C4D4F"/>
        </w:rPr>
        <w:t>Becoming a Safe Community. </w:t>
      </w:r>
      <w:r>
        <w:rPr>
          <w:color w:val="4C4D4F"/>
        </w:rPr>
        <w:t>[Online]</w:t>
      </w:r>
      <w:r>
        <w:rPr>
          <w:color w:val="4C4D4F"/>
          <w:spacing w:val="1"/>
        </w:rPr>
        <w:t> </w:t>
      </w:r>
      <w:r>
        <w:rPr>
          <w:color w:val="4C4D4F"/>
        </w:rPr>
        <w:t>Available at: </w:t>
      </w:r>
      <w:hyperlink r:id="rId11">
        <w:r>
          <w:rPr>
            <w:color w:val="4C4D4F"/>
            <w:u w:val="single" w:color="4C4D4F"/>
          </w:rPr>
          <w:t>http://www.safecommunities.net.au/index.php/becoming-a-safe-community</w:t>
        </w:r>
      </w:hyperlink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1 1</w:t>
      </w:r>
      <w:r>
        <w:rPr>
          <w:color w:val="4C4D4F"/>
          <w:spacing w:val="-2"/>
        </w:rPr>
        <w:t> </w:t>
      </w:r>
      <w:r>
        <w:rPr>
          <w:color w:val="4C4D4F"/>
        </w:rPr>
        <w:t>2021].</w:t>
      </w:r>
    </w:p>
    <w:p>
      <w:pPr>
        <w:spacing w:line="288" w:lineRule="auto" w:before="122"/>
        <w:ind w:left="109" w:right="191" w:firstLine="0"/>
        <w:jc w:val="both"/>
        <w:rPr>
          <w:sz w:val="22"/>
        </w:rPr>
      </w:pPr>
      <w:r>
        <w:rPr>
          <w:color w:val="4C4D4F"/>
          <w:sz w:val="22"/>
        </w:rPr>
        <w:t>City of Port Phillip, 2020. </w:t>
      </w:r>
      <w:r>
        <w:rPr>
          <w:i/>
          <w:color w:val="4C4D4F"/>
          <w:sz w:val="22"/>
        </w:rPr>
        <w:t>2019 Local Government Community Satisfaction Survey, </w:t>
      </w:r>
      <w:r>
        <w:rPr>
          <w:color w:val="4C4D4F"/>
          <w:sz w:val="22"/>
        </w:rPr>
        <w:t>s.l.: City of Port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Phillip.</w:t>
      </w:r>
    </w:p>
    <w:p>
      <w:pPr>
        <w:spacing w:after="0" w:line="288" w:lineRule="auto"/>
        <w:jc w:val="both"/>
        <w:rPr>
          <w:sz w:val="22"/>
        </w:rPr>
        <w:sectPr>
          <w:pgSz w:w="11910" w:h="16840"/>
          <w:pgMar w:header="0" w:footer="0" w:top="1980" w:bottom="280" w:left="1020" w:right="1020"/>
        </w:sectPr>
      </w:pPr>
    </w:p>
    <w:p>
      <w:pPr>
        <w:spacing w:before="169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GIWPS, 2019.</w:t>
      </w:r>
      <w:r>
        <w:rPr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Australia’s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Performance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on</w:t>
      </w:r>
      <w:r>
        <w:rPr>
          <w:i/>
          <w:color w:val="4C4D4F"/>
          <w:spacing w:val="-6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Women,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Peace,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Security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Index.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line="288" w:lineRule="auto" w:before="52"/>
        <w:ind w:left="109" w:right="3883"/>
      </w:pPr>
      <w:r>
        <w:rPr>
          <w:color w:val="4C4D4F"/>
        </w:rPr>
        <w:t>Available at: </w:t>
      </w:r>
      <w:r>
        <w:rPr>
          <w:color w:val="4C4D4F"/>
          <w:u w:val="single" w:color="4C4D4F"/>
        </w:rPr>
        <w:t>https://giwps.georgetown.edu/country/australia/</w:t>
      </w:r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01 01</w:t>
      </w:r>
      <w:r>
        <w:rPr>
          <w:color w:val="4C4D4F"/>
          <w:spacing w:val="-2"/>
        </w:rPr>
        <w:t> </w:t>
      </w:r>
      <w:r>
        <w:rPr>
          <w:color w:val="4C4D4F"/>
        </w:rPr>
        <w:t>2021].</w:t>
      </w:r>
    </w:p>
    <w:p>
      <w:pPr>
        <w:spacing w:before="118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Hutcheson,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E., 2017. </w:t>
      </w:r>
      <w:r>
        <w:rPr>
          <w:i/>
          <w:color w:val="4C4D4F"/>
          <w:sz w:val="22"/>
        </w:rPr>
        <w:t>Family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Violence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in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the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Southern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Metropolitan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Region.</w:t>
      </w:r>
      <w:r>
        <w:rPr>
          <w:i/>
          <w:color w:val="4C4D4F"/>
          <w:spacing w:val="-1"/>
          <w:sz w:val="22"/>
        </w:rPr>
        <w:t> </w:t>
      </w:r>
      <w:r>
        <w:rPr>
          <w:color w:val="4C4D4F"/>
          <w:sz w:val="22"/>
        </w:rPr>
        <w:t>[Online]</w:t>
      </w:r>
    </w:p>
    <w:p>
      <w:pPr>
        <w:pStyle w:val="BodyText"/>
        <w:spacing w:before="49"/>
        <w:ind w:left="109"/>
      </w:pPr>
      <w:r>
        <w:rPr>
          <w:color w:val="4C4D4F"/>
        </w:rPr>
        <w:t>Available</w:t>
      </w:r>
      <w:r>
        <w:rPr>
          <w:color w:val="4C4D4F"/>
          <w:spacing w:val="-7"/>
        </w:rPr>
        <w:t> </w:t>
      </w:r>
      <w:r>
        <w:rPr>
          <w:color w:val="4C4D4F"/>
        </w:rPr>
        <w:t>at:</w:t>
      </w:r>
      <w:r>
        <w:rPr>
          <w:color w:val="4C4D4F"/>
          <w:spacing w:val="-4"/>
        </w:rPr>
        <w:t> </w:t>
      </w:r>
      <w:r>
        <w:rPr>
          <w:color w:val="4C4D4F"/>
          <w:u w:val="single" w:color="4C4D4F"/>
        </w:rPr>
        <w:t>https://southsafe.com.au/wp-content/uploads/2016/09/Family-Violence-in-the-SMR-</w:t>
      </w:r>
    </w:p>
    <w:p>
      <w:pPr>
        <w:pStyle w:val="BodyText"/>
        <w:spacing w:line="288" w:lineRule="auto" w:before="54"/>
        <w:ind w:left="109" w:right="7051"/>
      </w:pPr>
      <w:r>
        <w:rPr>
          <w:color w:val="4C4D4F"/>
          <w:u w:val="single" w:color="4C4D4F"/>
        </w:rPr>
        <w:t>Summary-Document-v3.pdf</w:t>
      </w:r>
      <w:r>
        <w:rPr>
          <w:color w:val="4C4D4F"/>
          <w:spacing w:val="-59"/>
        </w:rPr>
        <w:t> </w:t>
      </w:r>
      <w:r>
        <w:rPr>
          <w:color w:val="4C4D4F"/>
        </w:rPr>
        <w:t>[Accessed</w:t>
      </w:r>
      <w:r>
        <w:rPr>
          <w:color w:val="4C4D4F"/>
          <w:spacing w:val="-3"/>
        </w:rPr>
        <w:t> </w:t>
      </w:r>
      <w:r>
        <w:rPr>
          <w:color w:val="4C4D4F"/>
        </w:rPr>
        <w:t>26</w:t>
      </w:r>
      <w:r>
        <w:rPr>
          <w:color w:val="4C4D4F"/>
          <w:spacing w:val="-1"/>
        </w:rPr>
        <w:t> </w:t>
      </w:r>
      <w:r>
        <w:rPr>
          <w:color w:val="4C4D4F"/>
        </w:rPr>
        <w:t>12</w:t>
      </w:r>
      <w:r>
        <w:rPr>
          <w:color w:val="4C4D4F"/>
          <w:spacing w:val="-2"/>
        </w:rPr>
        <w:t> </w:t>
      </w:r>
      <w:r>
        <w:rPr>
          <w:color w:val="4C4D4F"/>
        </w:rPr>
        <w:t>2020].</w:t>
      </w:r>
    </w:p>
    <w:p>
      <w:pPr>
        <w:pStyle w:val="BodyText"/>
        <w:spacing w:line="290" w:lineRule="auto" w:before="118"/>
        <w:ind w:left="109" w:right="264"/>
      </w:pPr>
      <w:r>
        <w:rPr>
          <w:color w:val="4C4D4F"/>
        </w:rPr>
        <w:t>Krnjacki, L., Emerson, E., Llewellyn, G. &amp; Kavanagh, A. M., 2015. Prevalence and risk of violence</w:t>
      </w:r>
      <w:r>
        <w:rPr>
          <w:color w:val="4C4D4F"/>
          <w:spacing w:val="-59"/>
        </w:rPr>
        <w:t> </w:t>
      </w:r>
      <w:r>
        <w:rPr>
          <w:color w:val="4C4D4F"/>
        </w:rPr>
        <w:t>against people</w:t>
      </w:r>
      <w:r>
        <w:rPr>
          <w:color w:val="4C4D4F"/>
          <w:spacing w:val="-2"/>
        </w:rPr>
        <w:t> </w:t>
      </w:r>
      <w:r>
        <w:rPr>
          <w:color w:val="4C4D4F"/>
        </w:rPr>
        <w:t>with</w:t>
      </w:r>
      <w:r>
        <w:rPr>
          <w:color w:val="4C4D4F"/>
          <w:spacing w:val="-4"/>
        </w:rPr>
        <w:t> </w:t>
      </w:r>
      <w:r>
        <w:rPr>
          <w:color w:val="4C4D4F"/>
        </w:rPr>
        <w:t>and</w:t>
      </w:r>
      <w:r>
        <w:rPr>
          <w:color w:val="4C4D4F"/>
          <w:spacing w:val="-4"/>
        </w:rPr>
        <w:t> </w:t>
      </w:r>
      <w:r>
        <w:rPr>
          <w:color w:val="4C4D4F"/>
        </w:rPr>
        <w:t>without</w:t>
      </w:r>
      <w:r>
        <w:rPr>
          <w:color w:val="4C4D4F"/>
          <w:spacing w:val="1"/>
        </w:rPr>
        <w:t> </w:t>
      </w:r>
      <w:r>
        <w:rPr>
          <w:color w:val="4C4D4F"/>
        </w:rPr>
        <w:t>disabilities:</w:t>
      </w:r>
      <w:r>
        <w:rPr>
          <w:color w:val="4C4D4F"/>
          <w:spacing w:val="-3"/>
        </w:rPr>
        <w:t> </w:t>
      </w:r>
      <w:r>
        <w:rPr>
          <w:color w:val="4C4D4F"/>
        </w:rPr>
        <w:t>findings</w:t>
      </w:r>
      <w:r>
        <w:rPr>
          <w:color w:val="4C4D4F"/>
          <w:spacing w:val="-2"/>
        </w:rPr>
        <w:t> </w:t>
      </w:r>
      <w:r>
        <w:rPr>
          <w:color w:val="4C4D4F"/>
        </w:rPr>
        <w:t>from</w:t>
      </w:r>
      <w:r>
        <w:rPr>
          <w:color w:val="4C4D4F"/>
          <w:spacing w:val="-2"/>
        </w:rPr>
        <w:t> </w:t>
      </w:r>
      <w:r>
        <w:rPr>
          <w:color w:val="4C4D4F"/>
        </w:rPr>
        <w:t>an</w:t>
      </w:r>
      <w:r>
        <w:rPr>
          <w:color w:val="4C4D4F"/>
          <w:spacing w:val="-1"/>
        </w:rPr>
        <w:t> </w:t>
      </w:r>
      <w:r>
        <w:rPr>
          <w:color w:val="4C4D4F"/>
        </w:rPr>
        <w:t>Australian</w:t>
      </w:r>
      <w:r>
        <w:rPr>
          <w:color w:val="4C4D4F"/>
          <w:spacing w:val="-2"/>
        </w:rPr>
        <w:t> </w:t>
      </w:r>
      <w:r>
        <w:rPr>
          <w:color w:val="4C4D4F"/>
        </w:rPr>
        <w:t>population</w:t>
      </w:r>
      <w:r>
        <w:rPr>
          <w:rFonts w:ascii="Cambria Math"/>
          <w:color w:val="4C4D4F"/>
        </w:rPr>
        <w:t>-</w:t>
      </w:r>
      <w:r>
        <w:rPr>
          <w:color w:val="4C4D4F"/>
        </w:rPr>
        <w:t>based</w:t>
      </w:r>
      <w:r>
        <w:rPr>
          <w:color w:val="4C4D4F"/>
          <w:spacing w:val="-2"/>
        </w:rPr>
        <w:t> </w:t>
      </w:r>
      <w:r>
        <w:rPr>
          <w:color w:val="4C4D4F"/>
        </w:rPr>
        <w:t>study.</w:t>
      </w:r>
    </w:p>
    <w:p>
      <w:pPr>
        <w:spacing w:line="244" w:lineRule="exact" w:before="0"/>
        <w:ind w:left="109" w:right="0" w:firstLine="0"/>
        <w:jc w:val="left"/>
        <w:rPr>
          <w:sz w:val="22"/>
        </w:rPr>
      </w:pPr>
      <w:r>
        <w:rPr>
          <w:i/>
          <w:color w:val="4C4D4F"/>
          <w:sz w:val="22"/>
        </w:rPr>
        <w:t>Australian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and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New</w:t>
      </w:r>
      <w:r>
        <w:rPr>
          <w:i/>
          <w:color w:val="4C4D4F"/>
          <w:spacing w:val="-5"/>
          <w:sz w:val="22"/>
        </w:rPr>
        <w:t> </w:t>
      </w:r>
      <w:r>
        <w:rPr>
          <w:i/>
          <w:color w:val="4C4D4F"/>
          <w:sz w:val="22"/>
        </w:rPr>
        <w:t>Zealand</w:t>
      </w:r>
      <w:r>
        <w:rPr>
          <w:i/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Journal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Public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Health, </w:t>
      </w:r>
      <w:r>
        <w:rPr>
          <w:color w:val="4C4D4F"/>
          <w:sz w:val="22"/>
        </w:rPr>
        <w:t>40(1).</w:t>
      </w:r>
    </w:p>
    <w:p>
      <w:pPr>
        <w:spacing w:line="288" w:lineRule="auto" w:before="177"/>
        <w:ind w:left="109" w:right="397" w:firstLine="0"/>
        <w:jc w:val="left"/>
        <w:rPr>
          <w:sz w:val="22"/>
        </w:rPr>
      </w:pPr>
      <w:r>
        <w:rPr>
          <w:color w:val="4C4D4F"/>
          <w:sz w:val="22"/>
        </w:rPr>
        <w:t>Pfitzner, N., Fitz-Gibbon, K. &amp; True, J., 2020. </w:t>
      </w:r>
      <w:r>
        <w:rPr>
          <w:i/>
          <w:color w:val="4C4D4F"/>
          <w:sz w:val="22"/>
        </w:rPr>
        <w:t>Responding to the 'shadow pandemic': practioner</w:t>
      </w:r>
      <w:r>
        <w:rPr>
          <w:i/>
          <w:color w:val="4C4D4F"/>
          <w:spacing w:val="1"/>
          <w:sz w:val="22"/>
        </w:rPr>
        <w:t> </w:t>
      </w:r>
      <w:r>
        <w:rPr>
          <w:i/>
          <w:color w:val="4C4D4F"/>
          <w:sz w:val="22"/>
        </w:rPr>
        <w:t>views on the nature of and responses to violence against women in Victoria, Australia during the</w:t>
      </w:r>
      <w:r>
        <w:rPr>
          <w:i/>
          <w:color w:val="4C4D4F"/>
          <w:spacing w:val="-59"/>
          <w:sz w:val="22"/>
        </w:rPr>
        <w:t> </w:t>
      </w:r>
      <w:r>
        <w:rPr>
          <w:i/>
          <w:color w:val="4C4D4F"/>
          <w:sz w:val="22"/>
        </w:rPr>
        <w:t>COVID-19 restrictions., </w:t>
      </w:r>
      <w:r>
        <w:rPr>
          <w:color w:val="4C4D4F"/>
          <w:sz w:val="22"/>
        </w:rPr>
        <w:t>s.l.: Monash Gender and Family Violence Prevention Centre, Monash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University.</w:t>
      </w:r>
    </w:p>
    <w:p>
      <w:pPr>
        <w:spacing w:before="117"/>
        <w:ind w:left="109" w:right="0" w:firstLine="0"/>
        <w:jc w:val="left"/>
        <w:rPr>
          <w:sz w:val="22"/>
        </w:rPr>
      </w:pPr>
      <w:r>
        <w:rPr>
          <w:color w:val="4C4D4F"/>
          <w:sz w:val="22"/>
        </w:rPr>
        <w:t>Resilient</w:t>
      </w:r>
      <w:r>
        <w:rPr>
          <w:color w:val="4C4D4F"/>
          <w:spacing w:val="-1"/>
          <w:sz w:val="22"/>
        </w:rPr>
        <w:t> </w:t>
      </w:r>
      <w:r>
        <w:rPr>
          <w:color w:val="4C4D4F"/>
          <w:sz w:val="22"/>
        </w:rPr>
        <w:t>Youth</w:t>
      </w:r>
      <w:r>
        <w:rPr>
          <w:color w:val="4C4D4F"/>
          <w:spacing w:val="-2"/>
          <w:sz w:val="22"/>
        </w:rPr>
        <w:t> </w:t>
      </w:r>
      <w:r>
        <w:rPr>
          <w:color w:val="4C4D4F"/>
          <w:sz w:val="22"/>
        </w:rPr>
        <w:t>Australia, 2019.</w:t>
      </w:r>
      <w:r>
        <w:rPr>
          <w:color w:val="4C4D4F"/>
          <w:spacing w:val="-1"/>
          <w:sz w:val="22"/>
        </w:rPr>
        <w:t> </w:t>
      </w:r>
      <w:r>
        <w:rPr>
          <w:i/>
          <w:color w:val="4C4D4F"/>
          <w:sz w:val="22"/>
        </w:rPr>
        <w:t>City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of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Port Phillip</w:t>
      </w:r>
      <w:r>
        <w:rPr>
          <w:i/>
          <w:color w:val="4C4D4F"/>
          <w:spacing w:val="-3"/>
          <w:sz w:val="22"/>
        </w:rPr>
        <w:t> </w:t>
      </w:r>
      <w:r>
        <w:rPr>
          <w:i/>
          <w:color w:val="4C4D4F"/>
          <w:sz w:val="22"/>
        </w:rPr>
        <w:t>Youth</w:t>
      </w:r>
      <w:r>
        <w:rPr>
          <w:i/>
          <w:color w:val="4C4D4F"/>
          <w:spacing w:val="-4"/>
          <w:sz w:val="22"/>
        </w:rPr>
        <w:t> </w:t>
      </w:r>
      <w:r>
        <w:rPr>
          <w:i/>
          <w:color w:val="4C4D4F"/>
          <w:sz w:val="22"/>
        </w:rPr>
        <w:t>Resilience</w:t>
      </w:r>
      <w:r>
        <w:rPr>
          <w:i/>
          <w:color w:val="4C4D4F"/>
          <w:spacing w:val="-2"/>
          <w:sz w:val="22"/>
        </w:rPr>
        <w:t> </w:t>
      </w:r>
      <w:r>
        <w:rPr>
          <w:i/>
          <w:color w:val="4C4D4F"/>
          <w:sz w:val="22"/>
        </w:rPr>
        <w:t>Survey.</w:t>
      </w:r>
      <w:r>
        <w:rPr>
          <w:i/>
          <w:color w:val="4C4D4F"/>
          <w:spacing w:val="1"/>
          <w:sz w:val="22"/>
        </w:rPr>
        <w:t> </w:t>
      </w:r>
      <w:r>
        <w:rPr>
          <w:color w:val="4C4D4F"/>
          <w:sz w:val="22"/>
        </w:rPr>
        <w:t>s.l.:s.n.</w:t>
      </w:r>
    </w:p>
    <w:p>
      <w:pPr>
        <w:spacing w:line="288" w:lineRule="auto" w:before="172"/>
        <w:ind w:left="109" w:right="693" w:hanging="1"/>
        <w:jc w:val="left"/>
        <w:rPr>
          <w:sz w:val="22"/>
        </w:rPr>
      </w:pPr>
      <w:r>
        <w:rPr>
          <w:color w:val="4C4D4F"/>
          <w:sz w:val="22"/>
        </w:rPr>
        <w:t>VicHealth, 2015. </w:t>
      </w:r>
      <w:r>
        <w:rPr>
          <w:i/>
          <w:color w:val="4C4D4F"/>
          <w:sz w:val="22"/>
        </w:rPr>
        <w:t>VicHealth Indicators Survey 2015 Results: Port Phillip - LGA Profile, </w:t>
      </w:r>
      <w:r>
        <w:rPr>
          <w:color w:val="4C4D4F"/>
          <w:sz w:val="22"/>
        </w:rPr>
        <w:t>Carlton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South: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Vichealth.</w:t>
      </w:r>
    </w:p>
    <w:p>
      <w:pPr>
        <w:spacing w:line="288" w:lineRule="auto" w:before="120"/>
        <w:ind w:left="109" w:right="693" w:hanging="1"/>
        <w:jc w:val="left"/>
        <w:rPr>
          <w:sz w:val="22"/>
        </w:rPr>
      </w:pPr>
      <w:r>
        <w:rPr>
          <w:color w:val="4C4D4F"/>
          <w:sz w:val="22"/>
        </w:rPr>
        <w:t>VicHealth, 2015. </w:t>
      </w:r>
      <w:r>
        <w:rPr>
          <w:i/>
          <w:color w:val="4C4D4F"/>
          <w:sz w:val="22"/>
        </w:rPr>
        <w:t>VicHealth Indicators Survey 2015: Supplementary report - sexuality, </w:t>
      </w:r>
      <w:r>
        <w:rPr>
          <w:color w:val="4C4D4F"/>
          <w:sz w:val="22"/>
        </w:rPr>
        <w:t>Carlton</w:t>
      </w:r>
      <w:r>
        <w:rPr>
          <w:color w:val="4C4D4F"/>
          <w:spacing w:val="-59"/>
          <w:sz w:val="22"/>
        </w:rPr>
        <w:t> </w:t>
      </w:r>
      <w:r>
        <w:rPr>
          <w:color w:val="4C4D4F"/>
          <w:sz w:val="22"/>
        </w:rPr>
        <w:t>South:</w:t>
      </w:r>
      <w:r>
        <w:rPr>
          <w:color w:val="4C4D4F"/>
          <w:spacing w:val="1"/>
          <w:sz w:val="22"/>
        </w:rPr>
        <w:t> </w:t>
      </w:r>
      <w:r>
        <w:rPr>
          <w:color w:val="4C4D4F"/>
          <w:sz w:val="22"/>
        </w:rPr>
        <w:t>VicHealth.</w:t>
      </w:r>
    </w:p>
    <w:sectPr>
      <w:pgSz w:w="11910" w:h="16840"/>
      <w:pgMar w:header="0" w:footer="0" w:top="198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85440">
          <wp:simplePos x="0" y="0"/>
          <wp:positionH relativeFrom="page">
            <wp:posOffset>0</wp:posOffset>
          </wp:positionH>
          <wp:positionV relativeFrom="page">
            <wp:posOffset>253</wp:posOffset>
          </wp:positionV>
          <wp:extent cx="7537856" cy="1257427"/>
          <wp:effectExtent l="0" t="0" r="0" b="0"/>
          <wp:wrapNone/>
          <wp:docPr id="1" name="image6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6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7856" cy="12574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4701pt;margin-top:64.585579pt;width:268.45pt;height:14.35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b/>
                    <w:color w:val="FFFFFF"/>
                    <w:sz w:val="22"/>
                  </w:rPr>
                  <w:t>Community</w:t>
                </w:r>
                <w:r>
                  <w:rPr>
                    <w:b/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safety</w:t>
                </w:r>
                <w:r>
                  <w:rPr>
                    <w:b/>
                    <w:color w:val="FFFFFF"/>
                    <w:spacing w:val="-4"/>
                    <w:sz w:val="22"/>
                  </w:rPr>
                  <w:t> </w:t>
                </w:r>
                <w:r>
                  <w:rPr>
                    <w:b/>
                    <w:color w:val="FFFFFF"/>
                    <w:sz w:val="22"/>
                  </w:rPr>
                  <w:t>-</w:t>
                </w:r>
                <w:r>
                  <w:rPr>
                    <w:b/>
                    <w:color w:val="FFFFFF"/>
                    <w:spacing w:val="-3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City</w:t>
                </w:r>
                <w:r>
                  <w:rPr>
                    <w:color w:val="FFFFFF"/>
                    <w:spacing w:val="-1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of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Port Phillip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Health</w:t>
                </w:r>
                <w:r>
                  <w:rPr>
                    <w:color w:val="FFFFFF"/>
                    <w:spacing w:val="-2"/>
                    <w:sz w:val="22"/>
                  </w:rPr>
                  <w:t> </w:t>
                </w:r>
                <w:r>
                  <w:rPr>
                    <w:color w:val="FFFFFF"/>
                    <w:sz w:val="22"/>
                  </w:rPr>
                  <w:t>Profiles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56" w:hanging="250"/>
        <w:jc w:val="left"/>
      </w:pPr>
      <w:rPr>
        <w:rFonts w:hint="default" w:ascii="Arial" w:hAnsi="Arial" w:eastAsia="Arial" w:cs="Arial"/>
        <w:b/>
        <w:bCs/>
        <w:i/>
        <w:color w:val="4C4D4F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829" w:hanging="361"/>
      </w:pPr>
      <w:rPr>
        <w:rFonts w:hint="default"/>
        <w:w w:val="100"/>
      </w:rPr>
    </w:lvl>
    <w:lvl w:ilvl="2">
      <w:start w:val="0"/>
      <w:numFmt w:val="bullet"/>
      <w:lvlText w:val="•"/>
      <w:lvlJc w:val="left"/>
      <w:pPr>
        <w:ind w:left="1824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29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34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9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44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9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54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ind w:left="829"/>
    </w:pPr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Arial" w:hAnsi="Arial" w:eastAsia="Arial" w:cs="Arial"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1"/>
      <w:ind w:left="356" w:hanging="250"/>
      <w:outlineLvl w:val="2"/>
    </w:pPr>
    <w:rPr>
      <w:rFonts w:ascii="Arial" w:hAnsi="Arial" w:eastAsia="Arial" w:cs="Arial"/>
      <w:b/>
      <w:bCs/>
      <w:i/>
      <w:sz w:val="22"/>
      <w:szCs w:val="22"/>
    </w:rPr>
  </w:style>
  <w:style w:styleId="Title" w:type="paragraph">
    <w:name w:val="Title"/>
    <w:basedOn w:val="Normal"/>
    <w:uiPriority w:val="1"/>
    <w:qFormat/>
    <w:pPr>
      <w:ind w:left="109"/>
    </w:pPr>
    <w:rPr>
      <w:rFonts w:ascii="Arial" w:hAnsi="Arial" w:eastAsia="Arial" w:cs="Arial"/>
      <w:b/>
      <w:bCs/>
      <w:sz w:val="72"/>
      <w:szCs w:val="72"/>
    </w:rPr>
  </w:style>
  <w:style w:styleId="ListParagraph" w:type="paragraph">
    <w:name w:val="List Paragraph"/>
    <w:basedOn w:val="Normal"/>
    <w:uiPriority w:val="1"/>
    <w:qFormat/>
    <w:pPr>
      <w:spacing w:before="167"/>
      <w:ind w:left="829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header" Target="header1.xml"/><Relationship Id="rId11" Type="http://schemas.openxmlformats.org/officeDocument/2006/relationships/hyperlink" Target="http://www.safecommunities.net.au/index.php/becoming-a-safe-community" TargetMode="External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Brukarz</dc:creator>
  <dc:title>Health Profiles for Councillors 20 February 2021.pdf</dc:title>
  <dcterms:created xsi:type="dcterms:W3CDTF">2021-02-16T06:18:24Z</dcterms:created>
  <dcterms:modified xsi:type="dcterms:W3CDTF">2021-02-16T06:18:24Z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2021-02-16T00:00:00Z</vt:filetime>
  </property>
</Properties>
</file>