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group style="position:absolute;margin-left:.630160pt;margin-top:.02pt;width:594.550pt;height:317.4pt;mso-position-horizontal-relative:page;mso-position-vertical-relative:page;z-index:-15806464" coordorigin="13,0" coordsize="11891,6348">
            <v:shape style="position:absolute;left:12;top:0;width:11891;height:1935" type="#_x0000_t75" stroked="false">
              <v:imagedata r:id="rId5" o:title=""/>
            </v:shape>
            <v:rect style="position:absolute;left:24;top:1937;width:11879;height:4410" filled="true" fillcolor="#e1e2e3" stroked="false">
              <v:fill type="solid"/>
            </v:rect>
            <w10:wrap type="none"/>
          </v:group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5"/>
        <w:ind w:left="0" w:firstLine="0"/>
        <w:rPr>
          <w:rFonts w:ascii="Times New Roman"/>
          <w:sz w:val="16"/>
        </w:rPr>
      </w:pPr>
    </w:p>
    <w:p>
      <w:pPr>
        <w:pStyle w:val="Title"/>
      </w:pPr>
      <w:r>
        <w:rPr>
          <w:color w:val="4B8594"/>
        </w:rPr>
        <w:t>Social</w:t>
      </w:r>
      <w:r>
        <w:rPr>
          <w:color w:val="4B8594"/>
          <w:spacing w:val="1"/>
        </w:rPr>
        <w:t> </w:t>
      </w:r>
      <w:r>
        <w:rPr>
          <w:color w:val="4B8594"/>
        </w:rPr>
        <w:t>Inclusion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pStyle w:val="BodyText"/>
        <w:spacing w:before="7"/>
        <w:ind w:left="0" w:firstLine="0"/>
        <w:rPr>
          <w:sz w:val="24"/>
        </w:rPr>
      </w:pPr>
    </w:p>
    <w:p>
      <w:pPr>
        <w:spacing w:before="0"/>
        <w:ind w:left="109" w:right="170" w:firstLine="0"/>
        <w:jc w:val="left"/>
        <w:rPr>
          <w:sz w:val="32"/>
        </w:rPr>
      </w:pPr>
      <w:r>
        <w:rPr>
          <w:color w:val="4C4D4F"/>
          <w:sz w:val="32"/>
        </w:rPr>
        <w:t>Feeling connected to people and places are important determinants</w:t>
      </w:r>
      <w:r>
        <w:rPr>
          <w:color w:val="4C4D4F"/>
          <w:spacing w:val="-86"/>
          <w:sz w:val="32"/>
        </w:rPr>
        <w:t> </w:t>
      </w:r>
      <w:r>
        <w:rPr>
          <w:color w:val="4C4D4F"/>
          <w:sz w:val="32"/>
        </w:rPr>
        <w:t>of health. Communities that enable all citizens to play a full and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useful role in the social, economic and cultural life of their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community are likely to be healthier than those where people face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insecurity, exclusion and deprivation. (World Health Organisation,</w:t>
      </w:r>
      <w:r>
        <w:rPr>
          <w:color w:val="4C4D4F"/>
          <w:spacing w:val="1"/>
          <w:sz w:val="32"/>
        </w:rPr>
        <w:t> </w:t>
      </w:r>
      <w:r>
        <w:rPr>
          <w:color w:val="4C4D4F"/>
          <w:sz w:val="32"/>
        </w:rPr>
        <w:t>2003).</w:t>
      </w:r>
    </w:p>
    <w:p>
      <w:pPr>
        <w:pStyle w:val="BodyText"/>
        <w:ind w:left="0" w:firstLine="0"/>
        <w:rPr>
          <w:sz w:val="36"/>
        </w:rPr>
      </w:pPr>
    </w:p>
    <w:p>
      <w:pPr>
        <w:pStyle w:val="Heading1"/>
        <w:spacing w:before="234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</w:t>
      </w:r>
      <w:r>
        <w:rPr>
          <w:color w:val="44687A"/>
          <w:spacing w:val="-1"/>
        </w:rPr>
        <w:t> </w:t>
      </w:r>
      <w:r>
        <w:rPr>
          <w:color w:val="44687A"/>
        </w:rPr>
        <w:t>social</w:t>
      </w:r>
      <w:r>
        <w:rPr>
          <w:color w:val="44687A"/>
          <w:spacing w:val="-2"/>
        </w:rPr>
        <w:t> </w:t>
      </w:r>
      <w:r>
        <w:rPr>
          <w:color w:val="44687A"/>
        </w:rPr>
        <w:t>inclusion</w:t>
      </w:r>
    </w:p>
    <w:p>
      <w:pPr>
        <w:pStyle w:val="BodyText"/>
        <w:spacing w:before="240"/>
        <w:ind w:left="486" w:right="134" w:firstLine="2"/>
        <w:jc w:val="center"/>
      </w:pPr>
      <w:r>
        <w:rPr>
          <w:color w:val="4C4D4F"/>
        </w:rPr>
        <w:t>A socially inclusive society is one ‘where all people feel valued, their differences are respected,</w:t>
      </w:r>
      <w:r>
        <w:rPr>
          <w:color w:val="4C4D4F"/>
          <w:spacing w:val="-59"/>
        </w:rPr>
        <w:t> </w:t>
      </w:r>
      <w:r>
        <w:rPr>
          <w:color w:val="4C4D4F"/>
        </w:rPr>
        <w:t>and their basic needs are met so that they can live in dignity. Social exclusion is ‘the process of</w:t>
      </w:r>
      <w:r>
        <w:rPr>
          <w:color w:val="4C4D4F"/>
          <w:spacing w:val="-59"/>
        </w:rPr>
        <w:t> </w:t>
      </w:r>
      <w:r>
        <w:rPr>
          <w:color w:val="4C4D4F"/>
        </w:rPr>
        <w:t>being shut out from the social, economic, political and cultural systems which contribute to the</w:t>
      </w:r>
      <w:r>
        <w:rPr>
          <w:color w:val="4C4D4F"/>
          <w:spacing w:val="1"/>
        </w:rPr>
        <w:t> </w:t>
      </w:r>
      <w:r>
        <w:rPr>
          <w:color w:val="4C4D4F"/>
        </w:rPr>
        <w:t>integration of the person into the community’ and can lead to people experiencing social</w:t>
      </w:r>
      <w:r>
        <w:rPr>
          <w:color w:val="4C4D4F"/>
          <w:spacing w:val="1"/>
        </w:rPr>
        <w:t> </w:t>
      </w:r>
      <w:r>
        <w:rPr>
          <w:color w:val="4C4D4F"/>
        </w:rPr>
        <w:t>isolation</w:t>
      </w:r>
      <w:r>
        <w:rPr>
          <w:color w:val="4C4D4F"/>
          <w:spacing w:val="-1"/>
        </w:rPr>
        <w:t> </w:t>
      </w:r>
      <w:r>
        <w:rPr>
          <w:color w:val="4C4D4F"/>
        </w:rPr>
        <w:t>(Cappo, 2002).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BodyText"/>
        <w:ind w:left="683" w:right="122" w:firstLine="6"/>
        <w:jc w:val="center"/>
      </w:pPr>
      <w:r>
        <w:rPr>
          <w:color w:val="4C4D4F"/>
        </w:rPr>
        <w:t>There is a strong association between social isolation and early death driven by depressive</w:t>
      </w:r>
      <w:r>
        <w:rPr>
          <w:color w:val="4C4D4F"/>
          <w:spacing w:val="1"/>
        </w:rPr>
        <w:t> </w:t>
      </w:r>
      <w:r>
        <w:rPr>
          <w:color w:val="4C4D4F"/>
        </w:rPr>
        <w:t>symptoms and socioeconomic factors, including education, neighbourhood disadvantage and</w:t>
      </w:r>
      <w:r>
        <w:rPr>
          <w:color w:val="4C4D4F"/>
          <w:spacing w:val="-60"/>
        </w:rPr>
        <w:t> </w:t>
      </w:r>
      <w:r>
        <w:rPr>
          <w:color w:val="4C4D4F"/>
        </w:rPr>
        <w:t>household</w:t>
      </w:r>
      <w:r>
        <w:rPr>
          <w:color w:val="4C4D4F"/>
          <w:spacing w:val="-1"/>
        </w:rPr>
        <w:t> </w:t>
      </w:r>
      <w:r>
        <w:rPr>
          <w:color w:val="4C4D4F"/>
        </w:rPr>
        <w:t>income. (Elovainio,</w:t>
      </w:r>
      <w:r>
        <w:rPr>
          <w:color w:val="4C4D4F"/>
          <w:spacing w:val="2"/>
        </w:rPr>
        <w:t> </w:t>
      </w:r>
      <w:r>
        <w:rPr>
          <w:color w:val="4C4D4F"/>
        </w:rPr>
        <w:t>et</w:t>
      </w:r>
      <w:r>
        <w:rPr>
          <w:color w:val="4C4D4F"/>
          <w:spacing w:val="2"/>
        </w:rPr>
        <w:t> </w:t>
      </w:r>
      <w:r>
        <w:rPr>
          <w:color w:val="4C4D4F"/>
        </w:rPr>
        <w:t>al.,</w:t>
      </w:r>
      <w:r>
        <w:rPr>
          <w:color w:val="4C4D4F"/>
          <w:spacing w:val="-1"/>
        </w:rPr>
        <w:t> </w:t>
      </w:r>
      <w:r>
        <w:rPr>
          <w:color w:val="4C4D4F"/>
        </w:rPr>
        <w:t>2017).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3"/>
        </w:rPr>
        <w:t> </w:t>
      </w:r>
      <w:r>
        <w:rPr>
          <w:color w:val="44687A"/>
        </w:rPr>
        <w:t>connected</w:t>
      </w:r>
      <w:r>
        <w:rPr>
          <w:color w:val="44687A"/>
          <w:spacing w:val="-1"/>
        </w:rPr>
        <w:t> </w:t>
      </w:r>
      <w:r>
        <w:rPr>
          <w:color w:val="44687A"/>
        </w:rPr>
        <w:t>and</w:t>
      </w:r>
      <w:r>
        <w:rPr>
          <w:color w:val="44687A"/>
          <w:spacing w:val="-1"/>
        </w:rPr>
        <w:t> </w:t>
      </w:r>
      <w:r>
        <w:rPr>
          <w:color w:val="44687A"/>
        </w:rPr>
        <w:t>included</w:t>
      </w:r>
      <w:r>
        <w:rPr>
          <w:color w:val="44687A"/>
          <w:spacing w:val="-3"/>
        </w:rPr>
        <w:t> </w:t>
      </w:r>
      <w:r>
        <w:rPr>
          <w:color w:val="44687A"/>
        </w:rPr>
        <w:t>are</w:t>
      </w:r>
      <w:r>
        <w:rPr>
          <w:color w:val="44687A"/>
          <w:spacing w:val="-4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residents</w:t>
      </w:r>
      <w:r>
        <w:rPr>
          <w:color w:val="44687A"/>
          <w:spacing w:val="-2"/>
        </w:rPr>
        <w:t> </w:t>
      </w:r>
      <w:r>
        <w:rPr>
          <w:color w:val="44687A"/>
        </w:rPr>
        <w:t>of Port</w:t>
      </w:r>
      <w:r>
        <w:rPr>
          <w:color w:val="44687A"/>
          <w:spacing w:val="-2"/>
        </w:rPr>
        <w:t> </w:t>
      </w:r>
      <w:r>
        <w:rPr>
          <w:color w:val="44687A"/>
        </w:rPr>
        <w:t>Phillip?</w:t>
      </w:r>
    </w:p>
    <w:p>
      <w:pPr>
        <w:pStyle w:val="BodyText"/>
        <w:spacing w:line="288" w:lineRule="auto" w:before="243"/>
        <w:ind w:left="109" w:right="275" w:firstLine="0"/>
      </w:pPr>
      <w:r>
        <w:rPr>
          <w:color w:val="4C4D4F"/>
        </w:rPr>
        <w:t>Many residents also feel that they have opportunities to participate in local community events and</w:t>
      </w:r>
      <w:r>
        <w:rPr>
          <w:color w:val="4C4D4F"/>
          <w:spacing w:val="-59"/>
        </w:rPr>
        <w:t> </w:t>
      </w:r>
      <w:r>
        <w:rPr>
          <w:color w:val="4C4D4F"/>
        </w:rPr>
        <w:t>activities, feel pride, connection and enjoyment in living in their neighbourhood and have a good</w:t>
      </w:r>
      <w:r>
        <w:rPr>
          <w:color w:val="4C4D4F"/>
          <w:spacing w:val="1"/>
        </w:rPr>
        <w:t> </w:t>
      </w:r>
      <w:r>
        <w:rPr>
          <w:color w:val="4C4D4F"/>
        </w:rPr>
        <w:t>sense of safety and security. Prior to COVID-19 there was good evidence of community</w:t>
      </w:r>
      <w:r>
        <w:rPr>
          <w:color w:val="4C4D4F"/>
          <w:spacing w:val="1"/>
        </w:rPr>
        <w:t> </w:t>
      </w:r>
      <w:r>
        <w:rPr>
          <w:color w:val="4C4D4F"/>
        </w:rPr>
        <w:t>connectedness</w:t>
      </w:r>
      <w:r>
        <w:rPr>
          <w:color w:val="4C4D4F"/>
          <w:spacing w:val="-3"/>
        </w:rPr>
        <w:t> </w:t>
      </w:r>
      <w:r>
        <w:rPr>
          <w:color w:val="4C4D4F"/>
        </w:rPr>
        <w:t>across Port Phillip: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0" w:after="0"/>
        <w:ind w:left="829" w:right="38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Port Phillip has a high proportion of residents who feel they live in a close-knit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neighbourhood and that neighbours can be trusted (71.8 per cent which is in line with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average) (Australian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Bureau 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Statistics, 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7" w:after="0"/>
        <w:ind w:left="829" w:right="19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Many residents feel that people in their neighbourhood are willing to help each other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they can get help in an emergency (72 percent which is lower than the Victorian average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74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per cent)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(Australian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Bureau of Statistics,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2" w:after="0"/>
        <w:ind w:left="829" w:right="32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61 per cent of residents feel that they live in a close-knit neighbourhood (again in line with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Victorian average)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(Australian Bureau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 Statistics,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33" w:after="0"/>
        <w:ind w:left="829" w:right="37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Volunteering can bring meaning and purpose to life, increase social connections, self-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esteem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and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wellbeing, relieve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stress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alleviate symptoms 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depression.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Almost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25"/>
          <w:sz w:val="22"/>
        </w:rPr>
        <w:t> </w:t>
      </w:r>
      <w:r>
        <w:rPr>
          <w:color w:val="4C4D4F"/>
          <w:sz w:val="22"/>
        </w:rPr>
        <w:t>fifth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type w:val="continuous"/>
          <w:pgSz w:w="11910" w:h="16840"/>
          <w:pgMar w:top="0" w:bottom="280" w:left="1020" w:right="1020"/>
        </w:sectPr>
      </w:pPr>
    </w:p>
    <w:p>
      <w:pPr>
        <w:pStyle w:val="BodyText"/>
        <w:spacing w:line="288" w:lineRule="auto" w:before="145"/>
        <w:ind w:right="105" w:firstLine="0"/>
      </w:pPr>
      <w:r>
        <w:rPr>
          <w:color w:val="4C4D4F"/>
        </w:rPr>
        <w:t>of our population reported doing some form of voluntary work in 2016 (19.9 per cent vs 17.6</w:t>
      </w:r>
      <w:r>
        <w:rPr>
          <w:color w:val="4C4D4F"/>
          <w:spacing w:val="-59"/>
        </w:rPr>
        <w:t> </w:t>
      </w:r>
      <w:r>
        <w:rPr>
          <w:color w:val="4C4D4F"/>
        </w:rPr>
        <w:t>per cent of Greater Melbourne residents) (Department of Health and Human Services,</w:t>
      </w:r>
      <w:r>
        <w:rPr>
          <w:color w:val="4C4D4F"/>
          <w:spacing w:val="1"/>
        </w:rPr>
        <w:t> </w:t>
      </w:r>
      <w:r>
        <w:rPr>
          <w:color w:val="4C4D4F"/>
        </w:rPr>
        <w:t>2015).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3"/>
        </w:rPr>
        <w:t> </w:t>
      </w:r>
      <w:r>
        <w:rPr>
          <w:color w:val="44687A"/>
        </w:rPr>
        <w:t>connected</w:t>
      </w:r>
      <w:r>
        <w:rPr>
          <w:color w:val="44687A"/>
          <w:spacing w:val="-1"/>
        </w:rPr>
        <w:t> </w:t>
      </w:r>
      <w:r>
        <w:rPr>
          <w:color w:val="44687A"/>
        </w:rPr>
        <w:t>and included</w:t>
      </w:r>
      <w:r>
        <w:rPr>
          <w:color w:val="44687A"/>
          <w:spacing w:val="-4"/>
        </w:rPr>
        <w:t> </w:t>
      </w:r>
      <w:r>
        <w:rPr>
          <w:color w:val="44687A"/>
        </w:rPr>
        <w:t>are</w:t>
      </w:r>
      <w:r>
        <w:rPr>
          <w:color w:val="44687A"/>
          <w:spacing w:val="-3"/>
        </w:rPr>
        <w:t> </w:t>
      </w:r>
      <w:r>
        <w:rPr>
          <w:color w:val="44687A"/>
        </w:rPr>
        <w:t>some</w:t>
      </w:r>
      <w:r>
        <w:rPr>
          <w:color w:val="44687A"/>
          <w:spacing w:val="-1"/>
        </w:rPr>
        <w:t> </w:t>
      </w:r>
      <w:r>
        <w:rPr>
          <w:color w:val="44687A"/>
        </w:rPr>
        <w:t>groups</w:t>
      </w:r>
      <w:r>
        <w:rPr>
          <w:color w:val="44687A"/>
          <w:spacing w:val="-1"/>
        </w:rPr>
        <w:t> </w:t>
      </w:r>
      <w:r>
        <w:rPr>
          <w:color w:val="44687A"/>
        </w:rPr>
        <w:t>in</w:t>
      </w:r>
      <w:r>
        <w:rPr>
          <w:color w:val="44687A"/>
          <w:spacing w:val="-1"/>
        </w:rPr>
        <w:t> </w:t>
      </w:r>
      <w:r>
        <w:rPr>
          <w:color w:val="44687A"/>
        </w:rPr>
        <w:t>our</w:t>
      </w:r>
      <w:r>
        <w:rPr>
          <w:color w:val="44687A"/>
          <w:spacing w:val="-3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43" w:after="0"/>
        <w:ind w:left="829" w:right="96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Living alone can be an indicator for loneliness. In 2016, 35.2 per cent of Port Phillip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households were </w:t>
      </w:r>
      <w:r>
        <w:rPr>
          <w:b/>
          <w:color w:val="4C4D4F"/>
          <w:sz w:val="22"/>
        </w:rPr>
        <w:t>lone person households</w:t>
      </w:r>
      <w:r>
        <w:rPr>
          <w:color w:val="4C4D4F"/>
          <w:sz w:val="22"/>
        </w:rPr>
        <w:t>, compared to 23.3 per cent in Victoria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(Department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 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6" w:after="0"/>
        <w:ind w:left="829" w:right="132" w:hanging="361"/>
        <w:jc w:val="left"/>
        <w:rPr>
          <w:rFonts w:ascii="Symbol" w:hAnsi="Symbol"/>
          <w:color w:val="4C4D4F"/>
          <w:sz w:val="22"/>
        </w:rPr>
      </w:pPr>
      <w:r>
        <w:rPr>
          <w:b/>
          <w:color w:val="4C4D4F"/>
          <w:sz w:val="22"/>
        </w:rPr>
        <w:t>People from CALD backgrounds </w:t>
      </w:r>
      <w:r>
        <w:rPr>
          <w:color w:val="4C4D4F"/>
          <w:sz w:val="22"/>
        </w:rPr>
        <w:t>consistently have higher levels, and greater numbers,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socially determined risk factors for mental health problems such as social isolation (Mental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Multicultural Australia, 2014).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12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26 per cent of </w:t>
      </w:r>
      <w:r>
        <w:rPr>
          <w:b/>
          <w:color w:val="4C4D4F"/>
          <w:sz w:val="22"/>
        </w:rPr>
        <w:t>young </w:t>
      </w:r>
      <w:r>
        <w:rPr>
          <w:color w:val="4C4D4F"/>
          <w:sz w:val="22"/>
        </w:rPr>
        <w:t>Australians experience a mental illness every year. One in eight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young Victorians report feeling lonely and one in four are unable to find social support when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need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it (Department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Health 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1" w:after="0"/>
        <w:ind w:left="829" w:right="179" w:hanging="361"/>
        <w:jc w:val="left"/>
        <w:rPr>
          <w:rFonts w:ascii="Symbol" w:hAnsi="Symbol"/>
          <w:color w:val="4C4D4F"/>
          <w:sz w:val="22"/>
        </w:rPr>
      </w:pPr>
      <w:r>
        <w:rPr>
          <w:b/>
          <w:color w:val="4C4D4F"/>
          <w:sz w:val="22"/>
        </w:rPr>
        <w:t>People living with greater socioeconomic disadvantage </w:t>
      </w:r>
      <w:r>
        <w:rPr>
          <w:color w:val="4C4D4F"/>
          <w:sz w:val="22"/>
        </w:rPr>
        <w:t>are more likely to experience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higher levels of psychological stress (Australian Bureau of Statistics, 2015). Social isolation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 loneliness are linked to depression and poorer cardiovascular health (Heart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Foundation, 2009). These effects are particularly pronounced amongst </w:t>
      </w:r>
      <w:r>
        <w:rPr>
          <w:b/>
          <w:color w:val="4C4D4F"/>
          <w:sz w:val="22"/>
        </w:rPr>
        <w:t>homeless people</w:t>
      </w:r>
      <w:r>
        <w:rPr>
          <w:b/>
          <w:color w:val="4C4D4F"/>
          <w:spacing w:val="1"/>
          <w:sz w:val="22"/>
        </w:rPr>
        <w:t> </w:t>
      </w:r>
      <w:r>
        <w:rPr>
          <w:color w:val="4C4D4F"/>
          <w:sz w:val="22"/>
        </w:rPr>
        <w:t>and </w:t>
      </w:r>
      <w:r>
        <w:rPr>
          <w:b/>
          <w:color w:val="4C4D4F"/>
          <w:sz w:val="22"/>
        </w:rPr>
        <w:t>older</w:t>
      </w:r>
      <w:r>
        <w:rPr>
          <w:b/>
          <w:color w:val="4C4D4F"/>
          <w:spacing w:val="-6"/>
          <w:sz w:val="22"/>
        </w:rPr>
        <w:t> </w:t>
      </w:r>
      <w:r>
        <w:rPr>
          <w:b/>
          <w:color w:val="4C4D4F"/>
          <w:sz w:val="22"/>
        </w:rPr>
        <w:t>Australians</w:t>
      </w:r>
      <w:r>
        <w:rPr>
          <w:color w:val="4C4D4F"/>
          <w:sz w:val="22"/>
        </w:rPr>
        <w:t>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COVID-19</w:t>
      </w:r>
      <w:r>
        <w:rPr>
          <w:color w:val="44687A"/>
          <w:spacing w:val="-4"/>
        </w:rPr>
        <w:t> </w:t>
      </w:r>
      <w:r>
        <w:rPr>
          <w:color w:val="44687A"/>
        </w:rPr>
        <w:t>Impact</w:t>
      </w:r>
    </w:p>
    <w:p>
      <w:pPr>
        <w:pStyle w:val="BodyText"/>
        <w:spacing w:before="245"/>
        <w:ind w:left="109" w:firstLine="0"/>
      </w:pPr>
      <w:r>
        <w:rPr>
          <w:color w:val="4C4D4F"/>
        </w:rPr>
        <w:t>Victorians</w:t>
      </w:r>
      <w:r>
        <w:rPr>
          <w:color w:val="4C4D4F"/>
          <w:spacing w:val="-3"/>
        </w:rPr>
        <w:t> </w:t>
      </w: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first coronavirus</w:t>
      </w:r>
      <w:r>
        <w:rPr>
          <w:color w:val="4C4D4F"/>
          <w:spacing w:val="-3"/>
        </w:rPr>
        <w:t> </w:t>
      </w:r>
      <w:r>
        <w:rPr>
          <w:color w:val="4C4D4F"/>
        </w:rPr>
        <w:t>lockdown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2020</w:t>
      </w:r>
      <w:r>
        <w:rPr>
          <w:color w:val="4C4D4F"/>
          <w:spacing w:val="-2"/>
        </w:rPr>
        <w:t> </w:t>
      </w:r>
      <w:r>
        <w:rPr>
          <w:color w:val="4C4D4F"/>
        </w:rPr>
        <w:t>showed</w:t>
      </w:r>
      <w:r>
        <w:rPr>
          <w:color w:val="4C4D4F"/>
          <w:spacing w:val="-4"/>
        </w:rPr>
        <w:t> </w:t>
      </w:r>
      <w:r>
        <w:rPr>
          <w:color w:val="4C4D4F"/>
        </w:rPr>
        <w:t>that</w:t>
      </w:r>
      <w:r>
        <w:rPr>
          <w:color w:val="4C4D4F"/>
          <w:spacing w:val="-2"/>
        </w:rPr>
        <w:t> </w:t>
      </w:r>
      <w:r>
        <w:rPr>
          <w:color w:val="4C4D4F"/>
        </w:rPr>
        <w:t>people</w:t>
      </w:r>
      <w:r>
        <w:rPr>
          <w:color w:val="4C4D4F"/>
          <w:spacing w:val="-5"/>
        </w:rPr>
        <w:t> </w:t>
      </w:r>
      <w:r>
        <w:rPr>
          <w:color w:val="4C4D4F"/>
        </w:rPr>
        <w:t>felt</w:t>
      </w:r>
      <w:r>
        <w:rPr>
          <w:color w:val="4C4D4F"/>
          <w:spacing w:val="-3"/>
        </w:rPr>
        <w:t> </w:t>
      </w:r>
      <w:r>
        <w:rPr>
          <w:color w:val="4C4D4F"/>
        </w:rPr>
        <w:t>less</w:t>
      </w:r>
      <w:r>
        <w:rPr>
          <w:color w:val="4C4D4F"/>
          <w:spacing w:val="-4"/>
        </w:rPr>
        <w:t> </w:t>
      </w:r>
      <w:r>
        <w:rPr>
          <w:color w:val="4C4D4F"/>
        </w:rPr>
        <w:t>socially</w:t>
      </w:r>
    </w:p>
    <w:p>
      <w:pPr>
        <w:pStyle w:val="BodyText"/>
        <w:spacing w:before="50"/>
        <w:ind w:left="109" w:firstLine="0"/>
      </w:pPr>
      <w:r>
        <w:rPr>
          <w:color w:val="4C4D4F"/>
        </w:rPr>
        <w:t>connected.</w:t>
      </w:r>
      <w:r>
        <w:rPr>
          <w:color w:val="4C4D4F"/>
          <w:spacing w:val="-2"/>
        </w:rPr>
        <w:t> </w:t>
      </w:r>
      <w:r>
        <w:rPr>
          <w:color w:val="4C4D4F"/>
        </w:rPr>
        <w:t>Data</w:t>
      </w:r>
      <w:r>
        <w:rPr>
          <w:color w:val="4C4D4F"/>
          <w:spacing w:val="-3"/>
        </w:rPr>
        <w:t> </w:t>
      </w:r>
      <w:r>
        <w:rPr>
          <w:color w:val="4C4D4F"/>
        </w:rPr>
        <w:t>showed: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74" w:after="0"/>
        <w:ind w:left="829" w:right="19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23 per cent of Victorians did not feel connected with others, up from 1 in 10 (10 per cent)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February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2020.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6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1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5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Victorians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said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first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lockdown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put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strain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relationships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people</w:t>
      </w:r>
    </w:p>
    <w:p>
      <w:pPr>
        <w:pStyle w:val="BodyText"/>
        <w:spacing w:before="38"/>
        <w:ind w:firstLine="0"/>
      </w:pPr>
      <w:r>
        <w:rPr>
          <w:color w:val="4C4D4F"/>
        </w:rPr>
        <w:t>they live with.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78" w:lineRule="auto" w:before="173" w:after="0"/>
        <w:ind w:left="829" w:right="507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3 in 10 Victorians found it hard or very hard to stay connected to friends or family during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lockdown.</w:t>
      </w:r>
      <w:r>
        <w:rPr>
          <w:color w:val="4C4D4F"/>
          <w:sz w:val="22"/>
          <w:vertAlign w:val="superscript"/>
        </w:rPr>
        <w:t>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3" w:lineRule="auto" w:before="131" w:after="0"/>
        <w:ind w:left="829" w:right="296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Staying connected to others during the first lockdown was most difficult for Aboriginal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Torres Strait Islanders, young people, people who speak a language other than English at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home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Victorians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eligible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JobKeeper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Job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Seeker.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375" w:hanging="361"/>
        <w:jc w:val="left"/>
        <w:rPr>
          <w:rFonts w:ascii="Symbol" w:hAnsi="Symbol"/>
          <w:color w:val="44687A"/>
          <w:sz w:val="22"/>
        </w:rPr>
      </w:pPr>
      <w:r>
        <w:rPr>
          <w:color w:val="4C4D4F"/>
          <w:sz w:val="22"/>
        </w:rPr>
        <w:t>Those who continued to volunteer during the COVID-19 crisis had a significantly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substantially smaller decline in life satisfaction and psychological distress than those who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stopped or who never volunteered in the first place. (Australian Institute of Health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2020).</w:t>
      </w:r>
    </w:p>
    <w:p>
      <w:pPr>
        <w:spacing w:after="0" w:line="283" w:lineRule="auto"/>
        <w:jc w:val="left"/>
        <w:rPr>
          <w:rFonts w:ascii="Symbol" w:hAnsi="Symbol"/>
          <w:sz w:val="22"/>
        </w:rPr>
        <w:sectPr>
          <w:headerReference w:type="default" r:id="rId6"/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Why</w:t>
      </w:r>
      <w:r>
        <w:rPr>
          <w:color w:val="44687A"/>
          <w:spacing w:val="-2"/>
        </w:rPr>
        <w:t> </w:t>
      </w:r>
      <w:r>
        <w:rPr>
          <w:color w:val="44687A"/>
        </w:rPr>
        <w:t>this</w:t>
      </w:r>
      <w:r>
        <w:rPr>
          <w:color w:val="44687A"/>
          <w:spacing w:val="1"/>
        </w:rPr>
        <w:t> </w:t>
      </w:r>
      <w:r>
        <w:rPr>
          <w:color w:val="44687A"/>
        </w:rPr>
        <w:t>is important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45" w:after="0"/>
        <w:ind w:left="829" w:right="23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Those who are shut out from the social, economic, political and cultural systems which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contribute to the integration of people into the community can experience extreme forms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isolation.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4" w:after="0"/>
        <w:ind w:left="829" w:right="58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Social isolation is proven to have negative effects on mental and physical health (Heart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Foundation,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2009).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78" w:lineRule="auto" w:before="131" w:after="0"/>
        <w:ind w:left="829" w:right="23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Increasing social inclusion can lead to greater social cohesiveness and better standards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health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reduce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premature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mortality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(World Health Organisation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(WHO)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Europe,</w:t>
      </w:r>
      <w:r>
        <w:rPr>
          <w:color w:val="4C4D4F"/>
          <w:spacing w:val="-18"/>
          <w:sz w:val="22"/>
        </w:rPr>
        <w:t> </w:t>
      </w:r>
      <w:r>
        <w:rPr>
          <w:color w:val="4C4D4F"/>
          <w:sz w:val="22"/>
        </w:rPr>
        <w:t>2003).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8" w:after="0"/>
        <w:ind w:left="830" w:right="28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As indicated in a number of Port Phillip Health profiles, there are some groups in our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 who are at greater risk of social exclusion and isolation and consequent health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impacts.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5"/>
        <w:ind w:left="0" w:firstLine="0"/>
        <w:rPr>
          <w:sz w:val="23"/>
        </w:rPr>
      </w:pPr>
    </w:p>
    <w:p>
      <w:pPr>
        <w:pStyle w:val="Heading1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Council’s</w:t>
      </w:r>
      <w:r>
        <w:rPr>
          <w:color w:val="44687A"/>
          <w:spacing w:val="-1"/>
        </w:rPr>
        <w:t> </w:t>
      </w:r>
      <w:r>
        <w:rPr>
          <w:color w:val="44687A"/>
        </w:rPr>
        <w:t>role?</w:t>
      </w:r>
    </w:p>
    <w:p>
      <w:pPr>
        <w:spacing w:before="241"/>
        <w:ind w:left="109" w:right="0" w:firstLine="0"/>
        <w:jc w:val="left"/>
        <w:rPr>
          <w:sz w:val="24"/>
        </w:rPr>
      </w:pPr>
      <w:r>
        <w:rPr>
          <w:color w:val="44687A"/>
          <w:sz w:val="24"/>
        </w:rPr>
        <w:t>How</w:t>
      </w:r>
      <w:r>
        <w:rPr>
          <w:color w:val="44687A"/>
          <w:spacing w:val="-3"/>
          <w:sz w:val="24"/>
        </w:rPr>
        <w:t> </w:t>
      </w:r>
      <w:r>
        <w:rPr>
          <w:color w:val="44687A"/>
          <w:sz w:val="24"/>
        </w:rPr>
        <w:t>are</w:t>
      </w:r>
      <w:r>
        <w:rPr>
          <w:color w:val="44687A"/>
          <w:spacing w:val="-1"/>
          <w:sz w:val="24"/>
        </w:rPr>
        <w:t> </w:t>
      </w:r>
      <w:r>
        <w:rPr>
          <w:color w:val="44687A"/>
          <w:sz w:val="24"/>
        </w:rPr>
        <w:t>the</w:t>
      </w:r>
      <w:r>
        <w:rPr>
          <w:color w:val="44687A"/>
          <w:spacing w:val="-1"/>
          <w:sz w:val="24"/>
        </w:rPr>
        <w:t> </w:t>
      </w:r>
      <w:r>
        <w:rPr>
          <w:color w:val="44687A"/>
          <w:sz w:val="24"/>
        </w:rPr>
        <w:t>State</w:t>
      </w:r>
      <w:r>
        <w:rPr>
          <w:color w:val="44687A"/>
          <w:spacing w:val="-3"/>
          <w:sz w:val="24"/>
        </w:rPr>
        <w:t> </w:t>
      </w:r>
      <w:r>
        <w:rPr>
          <w:color w:val="44687A"/>
          <w:sz w:val="24"/>
        </w:rPr>
        <w:t>and</w:t>
      </w:r>
      <w:r>
        <w:rPr>
          <w:color w:val="44687A"/>
          <w:spacing w:val="-4"/>
          <w:sz w:val="24"/>
        </w:rPr>
        <w:t> </w:t>
      </w:r>
      <w:r>
        <w:rPr>
          <w:color w:val="44687A"/>
          <w:sz w:val="24"/>
        </w:rPr>
        <w:t>Federal</w:t>
      </w:r>
      <w:r>
        <w:rPr>
          <w:color w:val="44687A"/>
          <w:spacing w:val="-2"/>
          <w:sz w:val="24"/>
        </w:rPr>
        <w:t> </w:t>
      </w:r>
      <w:r>
        <w:rPr>
          <w:color w:val="44687A"/>
          <w:sz w:val="24"/>
        </w:rPr>
        <w:t>Governments</w:t>
      </w:r>
      <w:r>
        <w:rPr>
          <w:color w:val="44687A"/>
          <w:spacing w:val="-2"/>
          <w:sz w:val="24"/>
        </w:rPr>
        <w:t> </w:t>
      </w:r>
      <w:r>
        <w:rPr>
          <w:color w:val="44687A"/>
          <w:sz w:val="24"/>
        </w:rPr>
        <w:t>increasing</w:t>
      </w:r>
      <w:r>
        <w:rPr>
          <w:color w:val="44687A"/>
          <w:spacing w:val="-3"/>
          <w:sz w:val="24"/>
        </w:rPr>
        <w:t> </w:t>
      </w:r>
      <w:r>
        <w:rPr>
          <w:color w:val="44687A"/>
          <w:sz w:val="24"/>
        </w:rPr>
        <w:t>social</w:t>
      </w:r>
      <w:r>
        <w:rPr>
          <w:color w:val="44687A"/>
          <w:spacing w:val="-2"/>
          <w:sz w:val="24"/>
        </w:rPr>
        <w:t> </w:t>
      </w:r>
      <w:r>
        <w:rPr>
          <w:color w:val="44687A"/>
          <w:sz w:val="24"/>
        </w:rPr>
        <w:t>inclusion?</w:t>
      </w:r>
    </w:p>
    <w:p>
      <w:pPr>
        <w:pStyle w:val="BodyText"/>
        <w:spacing w:line="276" w:lineRule="auto" w:before="178"/>
        <w:ind w:left="109" w:right="239" w:firstLine="0"/>
      </w:pPr>
      <w:r>
        <w:rPr>
          <w:color w:val="4C4D4F"/>
        </w:rPr>
        <w:t>Over recent years, the Federal Government has developed a number of social inclusion polices</w:t>
      </w:r>
      <w:r>
        <w:rPr>
          <w:color w:val="4C4D4F"/>
          <w:spacing w:val="1"/>
        </w:rPr>
        <w:t> </w:t>
      </w:r>
      <w:r>
        <w:rPr>
          <w:color w:val="4C4D4F"/>
        </w:rPr>
        <w:t>which aim to 1) reduce disadvantage and 2) increase social, civic and economic participation, and</w:t>
      </w:r>
      <w:r>
        <w:rPr>
          <w:color w:val="4C4D4F"/>
          <w:spacing w:val="-59"/>
        </w:rPr>
        <w:t> </w:t>
      </w:r>
      <w:r>
        <w:rPr>
          <w:color w:val="4C4D4F"/>
        </w:rPr>
        <w:t>a greater voice combined with greater responsibility. The Government has also developed</w:t>
      </w:r>
      <w:r>
        <w:rPr>
          <w:color w:val="4C4D4F"/>
          <w:spacing w:val="1"/>
        </w:rPr>
        <w:t> </w:t>
      </w:r>
      <w:r>
        <w:rPr>
          <w:color w:val="4C4D4F"/>
        </w:rPr>
        <w:t>principles</w:t>
      </w:r>
      <w:r>
        <w:rPr>
          <w:color w:val="4C4D4F"/>
          <w:spacing w:val="-1"/>
        </w:rPr>
        <w:t> </w:t>
      </w:r>
      <w:r>
        <w:rPr>
          <w:color w:val="4C4D4F"/>
        </w:rPr>
        <w:t>to approach</w:t>
      </w:r>
      <w:r>
        <w:rPr>
          <w:color w:val="4C4D4F"/>
          <w:spacing w:val="-2"/>
        </w:rPr>
        <w:t> </w:t>
      </w:r>
      <w:r>
        <w:rPr>
          <w:color w:val="4C4D4F"/>
        </w:rPr>
        <w:t>social</w:t>
      </w:r>
      <w:r>
        <w:rPr>
          <w:color w:val="4C4D4F"/>
          <w:spacing w:val="-1"/>
        </w:rPr>
        <w:t> </w:t>
      </w:r>
      <w:r>
        <w:rPr>
          <w:color w:val="4C4D4F"/>
        </w:rPr>
        <w:t>inclusion including: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Building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upon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individual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strengths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evidence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inform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Building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partnerships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key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stakeholders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69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Developing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tailored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65" w:after="0"/>
        <w:ind w:left="829" w:right="70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Giving a high priority to early intervention and prevention, and planning for community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sustainability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(Heart Foundation,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2009).</w:t>
      </w:r>
    </w:p>
    <w:p>
      <w:pPr>
        <w:pStyle w:val="BodyText"/>
        <w:spacing w:line="288" w:lineRule="auto" w:before="134"/>
        <w:ind w:left="109" w:right="263" w:firstLine="0"/>
      </w:pPr>
      <w:r>
        <w:rPr>
          <w:color w:val="4C4D4F"/>
        </w:rPr>
        <w:t>As indicated in a number of Port Phillip Health Profiles, both the Federal and State government</w:t>
      </w:r>
      <w:r>
        <w:rPr>
          <w:color w:val="4C4D4F"/>
          <w:spacing w:val="1"/>
        </w:rPr>
        <w:t> </w:t>
      </w:r>
      <w:r>
        <w:rPr>
          <w:color w:val="4C4D4F"/>
        </w:rPr>
        <w:t>focus on addressing the economic, social and cultural drivers of social exclusion through</w:t>
      </w:r>
      <w:r>
        <w:rPr>
          <w:color w:val="4C4D4F"/>
          <w:spacing w:val="1"/>
        </w:rPr>
        <w:t> </w:t>
      </w:r>
      <w:r>
        <w:rPr>
          <w:color w:val="4C4D4F"/>
        </w:rPr>
        <w:t>development of a range of policies and programs relevant to 1) employment, 2) education, 3)</w:t>
      </w:r>
      <w:r>
        <w:rPr>
          <w:color w:val="4C4D4F"/>
          <w:spacing w:val="1"/>
        </w:rPr>
        <w:t> </w:t>
      </w:r>
      <w:r>
        <w:rPr>
          <w:color w:val="4C4D4F"/>
        </w:rPr>
        <w:t>housing and 4) discrimination, in all of its forms and 5) enhancing the built environment. These</w:t>
      </w:r>
      <w:r>
        <w:rPr>
          <w:color w:val="4C4D4F"/>
          <w:spacing w:val="1"/>
        </w:rPr>
        <w:t> </w:t>
      </w:r>
      <w:r>
        <w:rPr>
          <w:color w:val="4C4D4F"/>
        </w:rPr>
        <w:t>governments also strive to address the consequences of social exclusion and isolation such as 1)</w:t>
      </w:r>
      <w:r>
        <w:rPr>
          <w:color w:val="4C4D4F"/>
          <w:spacing w:val="-59"/>
        </w:rPr>
        <w:t> </w:t>
      </w:r>
      <w:r>
        <w:rPr>
          <w:color w:val="4C4D4F"/>
        </w:rPr>
        <w:t>poor</w:t>
      </w:r>
      <w:r>
        <w:rPr>
          <w:color w:val="4C4D4F"/>
          <w:spacing w:val="-2"/>
        </w:rPr>
        <w:t> </w:t>
      </w:r>
      <w:r>
        <w:rPr>
          <w:color w:val="4C4D4F"/>
        </w:rPr>
        <w:t>mental health, 2)</w:t>
      </w:r>
      <w:r>
        <w:rPr>
          <w:color w:val="4C4D4F"/>
          <w:spacing w:val="-1"/>
        </w:rPr>
        <w:t> </w:t>
      </w:r>
      <w:r>
        <w:rPr>
          <w:color w:val="4C4D4F"/>
        </w:rPr>
        <w:t>substance</w:t>
      </w:r>
      <w:r>
        <w:rPr>
          <w:color w:val="4C4D4F"/>
          <w:spacing w:val="-2"/>
        </w:rPr>
        <w:t> </w:t>
      </w:r>
      <w:r>
        <w:rPr>
          <w:color w:val="4C4D4F"/>
        </w:rPr>
        <w:t>misuse</w:t>
      </w:r>
      <w:r>
        <w:rPr>
          <w:color w:val="4C4D4F"/>
          <w:spacing w:val="-2"/>
        </w:rPr>
        <w:t> </w:t>
      </w:r>
      <w:r>
        <w:rPr>
          <w:color w:val="4C4D4F"/>
        </w:rPr>
        <w:t>and 3)</w:t>
      </w:r>
      <w:r>
        <w:rPr>
          <w:color w:val="4C4D4F"/>
          <w:spacing w:val="1"/>
        </w:rPr>
        <w:t> </w:t>
      </w:r>
      <w:r>
        <w:rPr>
          <w:color w:val="4C4D4F"/>
        </w:rPr>
        <w:t>crime.</w:t>
      </w:r>
    </w:p>
    <w:p>
      <w:pPr>
        <w:pStyle w:val="BodyText"/>
        <w:ind w:left="0" w:firstLine="0"/>
        <w:rPr>
          <w:sz w:val="23"/>
        </w:rPr>
      </w:pPr>
    </w:p>
    <w:p>
      <w:pPr>
        <w:pStyle w:val="BodyText"/>
        <w:spacing w:line="288" w:lineRule="auto"/>
        <w:ind w:left="109" w:right="214" w:firstLine="0"/>
      </w:pPr>
      <w:r>
        <w:rPr>
          <w:color w:val="4C4D4F"/>
        </w:rPr>
        <w:t>At the state level there are also specific programs, designed to reduce the social elements of</w:t>
      </w:r>
      <w:r>
        <w:rPr>
          <w:color w:val="4C4D4F"/>
          <w:spacing w:val="1"/>
        </w:rPr>
        <w:t> </w:t>
      </w:r>
      <w:r>
        <w:rPr>
          <w:color w:val="4C4D4F"/>
        </w:rPr>
        <w:t>isolation and loneliness. These programs are offered by Sport and Recreation Victoria, the</w:t>
      </w:r>
      <w:r>
        <w:rPr>
          <w:color w:val="4C4D4F"/>
          <w:spacing w:val="1"/>
        </w:rPr>
        <w:t> </w:t>
      </w:r>
      <w:r>
        <w:rPr>
          <w:color w:val="4C4D4F"/>
        </w:rPr>
        <w:t>Department of Education and Training, Creative Victoria and the Diversity and the Social inclusion</w:t>
      </w:r>
      <w:r>
        <w:rPr>
          <w:color w:val="4C4D4F"/>
          <w:spacing w:val="-59"/>
        </w:rPr>
        <w:t> </w:t>
      </w:r>
      <w:r>
        <w:rPr>
          <w:color w:val="4C4D4F"/>
        </w:rPr>
        <w:t>located within the Department of Premier and Cabinet. These programs focus on increasing</w:t>
      </w:r>
      <w:r>
        <w:rPr>
          <w:color w:val="4C4D4F"/>
          <w:spacing w:val="1"/>
        </w:rPr>
        <w:t> </w:t>
      </w:r>
      <w:r>
        <w:rPr>
          <w:color w:val="4C4D4F"/>
        </w:rPr>
        <w:t>opportunities</w:t>
      </w:r>
      <w:r>
        <w:rPr>
          <w:color w:val="4C4D4F"/>
          <w:spacing w:val="-4"/>
        </w:rPr>
        <w:t> </w:t>
      </w:r>
      <w:r>
        <w:rPr>
          <w:color w:val="4C4D4F"/>
        </w:rPr>
        <w:t>for engagement</w:t>
      </w:r>
      <w:r>
        <w:rPr>
          <w:color w:val="4C4D4F"/>
          <w:spacing w:val="-2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community</w:t>
      </w:r>
      <w:r>
        <w:rPr>
          <w:color w:val="4C4D4F"/>
          <w:spacing w:val="-2"/>
        </w:rPr>
        <w:t> </w:t>
      </w:r>
      <w:r>
        <w:rPr>
          <w:color w:val="4C4D4F"/>
        </w:rPr>
        <w:t>activities</w:t>
      </w:r>
      <w:r>
        <w:rPr>
          <w:color w:val="4C4D4F"/>
          <w:spacing w:val="-2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connecting</w:t>
      </w:r>
      <w:r>
        <w:rPr>
          <w:color w:val="4C4D4F"/>
          <w:spacing w:val="-4"/>
        </w:rPr>
        <w:t> </w:t>
      </w:r>
      <w:r>
        <w:rPr>
          <w:color w:val="4C4D4F"/>
        </w:rPr>
        <w:t>people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community</w:t>
      </w:r>
      <w:r>
        <w:rPr>
          <w:color w:val="4C4D4F"/>
          <w:spacing w:val="-3"/>
        </w:rPr>
        <w:t> </w:t>
      </w:r>
      <w:r>
        <w:rPr>
          <w:color w:val="4C4D4F"/>
        </w:rPr>
        <w:t>life.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42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 the</w:t>
      </w:r>
      <w:r>
        <w:rPr>
          <w:color w:val="44687A"/>
          <w:spacing w:val="-4"/>
        </w:rPr>
        <w:t> </w:t>
      </w:r>
      <w:r>
        <w:rPr>
          <w:color w:val="44687A"/>
        </w:rPr>
        <w:t>City of</w:t>
      </w:r>
      <w:r>
        <w:rPr>
          <w:color w:val="44687A"/>
          <w:spacing w:val="-2"/>
        </w:rPr>
        <w:t> </w:t>
      </w:r>
      <w:r>
        <w:rPr>
          <w:color w:val="44687A"/>
        </w:rPr>
        <w:t>Port</w:t>
      </w:r>
      <w:r>
        <w:rPr>
          <w:color w:val="44687A"/>
          <w:spacing w:val="1"/>
        </w:rPr>
        <w:t> </w:t>
      </w:r>
      <w:r>
        <w:rPr>
          <w:color w:val="44687A"/>
        </w:rPr>
        <w:t>Phillip’s role</w:t>
      </w:r>
      <w:r>
        <w:rPr>
          <w:color w:val="44687A"/>
          <w:spacing w:val="-3"/>
        </w:rPr>
        <w:t> </w:t>
      </w:r>
      <w:r>
        <w:rPr>
          <w:color w:val="44687A"/>
        </w:rPr>
        <w:t>in</w:t>
      </w:r>
      <w:r>
        <w:rPr>
          <w:color w:val="44687A"/>
          <w:spacing w:val="-2"/>
        </w:rPr>
        <w:t> </w:t>
      </w:r>
      <w:r>
        <w:rPr>
          <w:color w:val="44687A"/>
        </w:rPr>
        <w:t>managing</w:t>
      </w:r>
      <w:r>
        <w:rPr>
          <w:color w:val="44687A"/>
          <w:spacing w:val="-4"/>
        </w:rPr>
        <w:t> </w:t>
      </w:r>
      <w:r>
        <w:rPr>
          <w:color w:val="44687A"/>
        </w:rPr>
        <w:t>mental</w:t>
      </w:r>
      <w:r>
        <w:rPr>
          <w:color w:val="44687A"/>
          <w:spacing w:val="-1"/>
        </w:rPr>
        <w:t> </w:t>
      </w:r>
      <w:r>
        <w:rPr>
          <w:color w:val="44687A"/>
        </w:rPr>
        <w:t>health?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BodyText"/>
        <w:ind w:left="109" w:right="166" w:firstLine="0"/>
      </w:pPr>
      <w:r>
        <w:rPr>
          <w:color w:val="4C4D4F"/>
        </w:rPr>
        <w:t>Over the next four years Port Phillip will work with key stakeholders to address the economic,</w:t>
      </w:r>
      <w:r>
        <w:rPr>
          <w:color w:val="4C4D4F"/>
          <w:spacing w:val="1"/>
        </w:rPr>
        <w:t> </w:t>
      </w:r>
      <w:r>
        <w:rPr>
          <w:color w:val="4C4D4F"/>
        </w:rPr>
        <w:t>social and cultural drivers of social exclusion, as identified in the suite of Port Phillip Health profiles</w:t>
      </w:r>
      <w:r>
        <w:rPr>
          <w:color w:val="4C4D4F"/>
          <w:spacing w:val="-59"/>
        </w:rPr>
        <w:t> </w:t>
      </w:r>
      <w:r>
        <w:rPr>
          <w:color w:val="4C4D4F"/>
        </w:rPr>
        <w:t>developed</w:t>
      </w:r>
      <w:r>
        <w:rPr>
          <w:color w:val="4C4D4F"/>
          <w:spacing w:val="-1"/>
        </w:rPr>
        <w:t> </w:t>
      </w:r>
      <w:r>
        <w:rPr>
          <w:color w:val="4C4D4F"/>
        </w:rPr>
        <w:t>in 2021. In</w:t>
      </w:r>
      <w:r>
        <w:rPr>
          <w:color w:val="4C4D4F"/>
          <w:spacing w:val="-2"/>
        </w:rPr>
        <w:t> </w:t>
      </w:r>
      <w:r>
        <w:rPr>
          <w:color w:val="4C4D4F"/>
        </w:rPr>
        <w:t>addition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this Port Phillip can:</w:t>
      </w:r>
    </w:p>
    <w:p>
      <w:pPr>
        <w:pStyle w:val="BodyText"/>
        <w:spacing w:before="6"/>
        <w:ind w:left="0"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0" w:after="0"/>
        <w:ind w:left="829" w:right="44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Ensure community infrastructure and facilities are welcoming, accessible and relevant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needs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all</w:t>
      </w:r>
      <w:r>
        <w:rPr>
          <w:color w:val="4C4D4F"/>
          <w:sz w:val="22"/>
        </w:rPr>
        <w:t> 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members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now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into the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future.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34" w:after="0"/>
        <w:ind w:left="829" w:right="31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Ensure that our built and natural environments are designed to maximise opportunities for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connection.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6" w:after="0"/>
        <w:ind w:left="829" w:right="11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Promote and strengthen social inclusion and community participation through a wide variety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 community programs that build on community initiatives and include people of all ages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abilities. This includes programs designed to provide opportunities for participation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creative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 physical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activity.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28" w:after="0"/>
        <w:ind w:left="829" w:right="20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Provide targeted support to people at risk of experiencing social exclusion and isolation, by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building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participation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opportunities.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36" w:after="0"/>
        <w:ind w:left="830" w:right="18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Provide a diverse range of connection opportunities, utilising both technological (online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media)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traditional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(letter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drop/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written/ verbal)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methods.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136" w:after="0"/>
        <w:ind w:left="830" w:right="13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Promote volunteering by supporting and training volunteers to help provide a wider range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community services.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95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243"/>
        <w:ind w:left="109" w:right="1070" w:firstLine="0"/>
      </w:pPr>
      <w:r>
        <w:rPr>
          <w:color w:val="4C4D4F"/>
        </w:rPr>
        <w:t>Maximising opportunity for social connection requires the input and support of community</w:t>
      </w:r>
      <w:r>
        <w:rPr>
          <w:color w:val="4C4D4F"/>
          <w:spacing w:val="-59"/>
        </w:rPr>
        <w:t> </w:t>
      </w:r>
      <w:r>
        <w:rPr>
          <w:color w:val="4C4D4F"/>
        </w:rPr>
        <w:t>organisations.</w:t>
      </w:r>
      <w:r>
        <w:rPr>
          <w:color w:val="4C4D4F"/>
          <w:spacing w:val="-2"/>
        </w:rPr>
        <w:t> </w:t>
      </w:r>
      <w:r>
        <w:rPr>
          <w:color w:val="4C4D4F"/>
        </w:rPr>
        <w:t>Some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our</w:t>
      </w:r>
      <w:r>
        <w:rPr>
          <w:color w:val="4C4D4F"/>
          <w:spacing w:val="1"/>
        </w:rPr>
        <w:t> </w:t>
      </w:r>
      <w:r>
        <w:rPr>
          <w:color w:val="4C4D4F"/>
        </w:rPr>
        <w:t>key</w:t>
      </w:r>
      <w:r>
        <w:rPr>
          <w:color w:val="4C4D4F"/>
          <w:spacing w:val="-2"/>
        </w:rPr>
        <w:t> </w:t>
      </w:r>
      <w:r>
        <w:rPr>
          <w:color w:val="4C4D4F"/>
        </w:rPr>
        <w:t>partners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this</w:t>
      </w:r>
      <w:r>
        <w:rPr>
          <w:color w:val="4C4D4F"/>
          <w:spacing w:val="-1"/>
        </w:rPr>
        <w:t> </w:t>
      </w:r>
      <w:r>
        <w:rPr>
          <w:color w:val="4C4D4F"/>
        </w:rPr>
        <w:t>endeavour</w:t>
      </w:r>
      <w:r>
        <w:rPr>
          <w:color w:val="4C4D4F"/>
          <w:spacing w:val="1"/>
        </w:rPr>
        <w:t> </w:t>
      </w:r>
      <w:r>
        <w:rPr>
          <w:color w:val="4C4D4F"/>
        </w:rPr>
        <w:t>will</w:t>
      </w:r>
      <w:r>
        <w:rPr>
          <w:color w:val="4C4D4F"/>
          <w:spacing w:val="-1"/>
        </w:rPr>
        <w:t> </w:t>
      </w:r>
      <w:r>
        <w:rPr>
          <w:color w:val="4C4D4F"/>
        </w:rPr>
        <w:t>be</w:t>
      </w:r>
      <w:r>
        <w:rPr>
          <w:color w:val="4C4D4F"/>
          <w:spacing w:val="-3"/>
        </w:rPr>
        <w:t> </w:t>
      </w:r>
      <w:r>
        <w:rPr>
          <w:color w:val="4C4D4F"/>
        </w:rPr>
        <w:t>those</w:t>
      </w:r>
      <w:r>
        <w:rPr>
          <w:color w:val="4C4D4F"/>
          <w:spacing w:val="-1"/>
        </w:rPr>
        <w:t> </w:t>
      </w:r>
      <w:r>
        <w:rPr>
          <w:color w:val="4C4D4F"/>
        </w:rPr>
        <w:t>working</w:t>
      </w:r>
      <w:r>
        <w:rPr>
          <w:color w:val="4C4D4F"/>
          <w:spacing w:val="-1"/>
        </w:rPr>
        <w:t> </w:t>
      </w:r>
      <w:r>
        <w:rPr>
          <w:color w:val="4C4D4F"/>
        </w:rPr>
        <w:t>in: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Sport 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Recreation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arts,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68" w:after="0"/>
        <w:ind w:left="829" w:right="78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 organisations such as the Port Phillip Community Group, Neighbourhood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Houses,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Sacred Heart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Mission,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South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Day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Links,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136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Housing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welfare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agencies,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164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Ethno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specific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organisations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older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adults.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before="207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245" w:after="0"/>
        <w:ind w:left="829" w:right="23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There is likely to be a long-term shift in more people working from home post COVID-19,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which may increase levels of social isolation and change the way we interact with our built,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natural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environments.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52" w:lineRule="auto" w:before="124" w:after="0"/>
        <w:ind w:left="829" w:right="63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There will be continued use of digital platforms to supplement traditional programs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services.</w:t>
      </w:r>
    </w:p>
    <w:p>
      <w:pPr>
        <w:spacing w:after="0" w:line="252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245" w:after="0"/>
        <w:ind w:left="829" w:right="56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Australian Bureau of Statistics. (2015). </w:t>
      </w:r>
      <w:r>
        <w:rPr>
          <w:i/>
          <w:color w:val="4C4D4F"/>
          <w:sz w:val="22"/>
        </w:rPr>
        <w:t>National Health Survey: First Results - Australia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2014-15: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4363.0.55.001.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Canberra: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Australian Bureau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Statistics.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1" w:val="left" w:leader="none"/>
        </w:tabs>
        <w:spacing w:line="283" w:lineRule="auto" w:before="138" w:after="0"/>
        <w:ind w:left="829" w:right="14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Australian Institute of Health and Welfare, Social isolation and loneliness,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https://</w:t>
      </w:r>
      <w:hyperlink r:id="rId7">
        <w:r>
          <w:rPr>
            <w:color w:val="4C4D4F"/>
            <w:spacing w:val="-1"/>
            <w:sz w:val="22"/>
          </w:rPr>
          <w:t>www.aihw.gov.au/reports/australias-welfare/social-isolation-and-loneliness</w:t>
        </w:r>
        <w:r>
          <w:rPr>
            <w:color w:val="4C4D4F"/>
            <w:sz w:val="22"/>
          </w:rPr>
          <w:t> </w:t>
        </w:r>
      </w:hyperlink>
      <w:r>
        <w:rPr>
          <w:color w:val="4C4D4F"/>
          <w:sz w:val="22"/>
        </w:rPr>
        <w:t>accessed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September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2" w:after="0"/>
        <w:ind w:left="830" w:right="30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Berkman, L.F., Syme, S.L., 1979, Social Networks, Host Resistance and Mortality A Nine-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Year Follow-up Study of Alameda County Residents, American Journal of Epidemiology,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Vol.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109 pp.186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-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204.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4" w:after="0"/>
        <w:ind w:left="830" w:right="13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Cappo, D Monsignor, 2002, Quoted in VicHealth Research Summary 2 - Social inclusion as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 determinant of mental health &amp; wellbeing (January 2005) accessed at:</w:t>
      </w:r>
      <w:r>
        <w:rPr>
          <w:color w:val="4C4D4F"/>
          <w:spacing w:val="1"/>
          <w:sz w:val="22"/>
        </w:rPr>
        <w:t> </w:t>
      </w:r>
      <w:hyperlink r:id="rId8">
        <w:r>
          <w:rPr>
            <w:color w:val="4C4D4F"/>
            <w:sz w:val="22"/>
          </w:rPr>
          <w:t>http://www.health.vic.gov.au/agedcare/maintaining/countusin/inclusion.htm</w:t>
        </w:r>
      </w:hyperlink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83" w:lineRule="auto" w:before="124" w:after="0"/>
        <w:ind w:left="831" w:right="19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Elovainio, M., Hakulinen, C., Pulkki-Råback, L., Virtanen, M., Josefsson, K., Jokela, M., . . 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Kivimäki, M. (2017). Contribution of risk factors to excess mortality in isolated and lonely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individuals: An analysis of data from the UK Biobank cohort study. </w:t>
      </w:r>
      <w:r>
        <w:rPr>
          <w:i/>
          <w:color w:val="4C4D4F"/>
          <w:sz w:val="22"/>
        </w:rPr>
        <w:t>The Lancet Public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Health,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2</w:t>
      </w:r>
      <w:r>
        <w:rPr>
          <w:color w:val="4C4D4F"/>
          <w:sz w:val="22"/>
        </w:rPr>
        <w:t>(6),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220-260.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83" w:lineRule="auto" w:before="129" w:after="0"/>
        <w:ind w:left="831" w:right="85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Mental Health in Multicultural Australia. (2014). Framework for Mental Health 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Multicultural Australia: Towards culturally inclusive service delivery. Mental Health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Multicultural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Australia.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78" w:lineRule="auto" w:before="122" w:after="0"/>
        <w:ind w:left="831" w:right="49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Office for National Statistics 2016, Social capital across the UK: 2011 to 2012, Office for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National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Statistics,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London.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76" w:lineRule="auto" w:before="133" w:after="0"/>
        <w:ind w:left="829" w:right="1053" w:hanging="359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Healthdirect, Benefits of Volunteering,</w:t>
      </w:r>
      <w:r>
        <w:rPr>
          <w:color w:val="5476BA"/>
          <w:sz w:val="22"/>
        </w:rPr>
        <w:t> </w:t>
      </w:r>
      <w:r>
        <w:rPr>
          <w:color w:val="5476BA"/>
          <w:sz w:val="22"/>
          <w:u w:val="single" w:color="5476BA"/>
        </w:rPr>
        <w:t>https:</w:t>
      </w:r>
      <w:hyperlink r:id="rId9">
        <w:r>
          <w:rPr>
            <w:color w:val="5476BA"/>
            <w:sz w:val="22"/>
            <w:u w:val="single" w:color="5476BA"/>
          </w:rPr>
          <w:t>//w</w:t>
        </w:r>
      </w:hyperlink>
      <w:r>
        <w:rPr>
          <w:color w:val="5476BA"/>
          <w:sz w:val="22"/>
          <w:u w:val="single" w:color="5476BA"/>
        </w:rPr>
        <w:t>ww</w:t>
      </w:r>
      <w:hyperlink r:id="rId9">
        <w:r>
          <w:rPr>
            <w:color w:val="5476BA"/>
            <w:sz w:val="22"/>
            <w:u w:val="single" w:color="5476BA"/>
          </w:rPr>
          <w:t>.healthdirect.gov.au/benefits-of-</w:t>
        </w:r>
      </w:hyperlink>
      <w:r>
        <w:rPr>
          <w:color w:val="5476BA"/>
          <w:spacing w:val="-59"/>
          <w:sz w:val="22"/>
        </w:rPr>
        <w:t> </w:t>
      </w:r>
      <w:r>
        <w:rPr>
          <w:color w:val="5476BA"/>
          <w:sz w:val="22"/>
          <w:u w:val="single" w:color="5476BA"/>
        </w:rPr>
        <w:t>volunteering</w:t>
      </w:r>
      <w:r>
        <w:rPr>
          <w:color w:val="4C4D4F"/>
          <w:sz w:val="22"/>
        </w:rPr>
        <w:t>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accessed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September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35" w:after="0"/>
        <w:ind w:left="829" w:right="34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Heart Foundation (2009) </w:t>
      </w:r>
      <w:r>
        <w:rPr>
          <w:i/>
          <w:color w:val="4C4D4F"/>
          <w:sz w:val="22"/>
        </w:rPr>
        <w:t>Healthy Spaces and Places</w:t>
      </w:r>
      <w:r>
        <w:rPr>
          <w:color w:val="4C4D4F"/>
          <w:sz w:val="22"/>
        </w:rPr>
        <w:t>: </w:t>
      </w:r>
      <w:r>
        <w:rPr>
          <w:i/>
          <w:color w:val="4C4D4F"/>
          <w:sz w:val="22"/>
        </w:rPr>
        <w:t>Social Inclusion</w:t>
      </w:r>
      <w:r>
        <w:rPr>
          <w:color w:val="4C4D4F"/>
          <w:sz w:val="22"/>
        </w:rPr>
        <w:t>. Heart Foundation,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Planning Institute, VLGA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Melbourne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Australia,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83" w:lineRule="auto" w:before="136" w:after="0"/>
        <w:ind w:left="829" w:right="39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West, S., Badham, M., 2008, </w:t>
      </w:r>
      <w:r>
        <w:rPr>
          <w:i/>
          <w:color w:val="4C4D4F"/>
          <w:sz w:val="22"/>
        </w:rPr>
        <w:t>‘A Strategic Framework for Creating Liveable Communities’</w:t>
      </w:r>
      <w:r>
        <w:rPr>
          <w:i/>
          <w:color w:val="4C4D4F"/>
          <w:spacing w:val="-59"/>
          <w:sz w:val="22"/>
        </w:rPr>
        <w:t> </w:t>
      </w:r>
      <w:r>
        <w:rPr>
          <w:color w:val="4C4D4F"/>
          <w:sz w:val="22"/>
        </w:rPr>
        <w:t>prepared for the Growth Areas Authority Victoria with assistance from the University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Melbourne,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Griffith University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McCaughey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Centre.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22" w:after="0"/>
        <w:ind w:left="829" w:right="94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World Health Organisation (WHO) Europe, 2003, (2nd Ed). ‘The Solid Facts: Social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Determinants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Health’,</w:t>
      </w:r>
      <w:r>
        <w:rPr>
          <w:color w:val="4C4D4F"/>
          <w:spacing w:val="-3"/>
          <w:sz w:val="22"/>
        </w:rPr>
        <w:t> </w:t>
      </w:r>
      <w:hyperlink r:id="rId10">
        <w:r>
          <w:rPr>
            <w:color w:val="5B66AF"/>
            <w:sz w:val="22"/>
          </w:rPr>
          <w:t>http://www.euro.who.int/document/E81384.pdf</w:t>
        </w:r>
      </w:hyperlink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448pt;width:256.9pt;height:14.35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Social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Inclusion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 Phillip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72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77"/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36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aihw.gov.au/reports/australias-welfare/social-isolation-and-loneliness" TargetMode="External"/><Relationship Id="rId8" Type="http://schemas.openxmlformats.org/officeDocument/2006/relationships/hyperlink" Target="http://www.health.vic.gov.au/agedcare/maintaining/countusin/inclusion.htm" TargetMode="External"/><Relationship Id="rId9" Type="http://schemas.openxmlformats.org/officeDocument/2006/relationships/hyperlink" Target="http://www.healthdirect.gov.au/benefits-of-" TargetMode="External"/><Relationship Id="rId10" Type="http://schemas.openxmlformats.org/officeDocument/2006/relationships/hyperlink" Target="http://www.euro.who.int/document/E81384.pdf" TargetMode="Externa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2021-02-16T06:19:26Z</dcterms:created>
  <dcterms:modified xsi:type="dcterms:W3CDTF">2021-02-16T06:19:26Z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