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.02pt;width:595.2pt;height:294.6pt;mso-position-horizontal-relative:page;mso-position-vertical-relative:page;z-index:-15810048" coordorigin="0,0" coordsize="11904,5892">
            <v:shape style="position:absolute;left:0;top:0;width:11904;height:1981" type="#_x0000_t75" stroked="false">
              <v:imagedata r:id="rId5" o:title=""/>
            </v:shape>
            <v:shape style="position:absolute;left:12;top:0;width:11859;height:1947" type="#_x0000_t75" stroked="false">
              <v:imagedata r:id="rId6" o:title=""/>
            </v:shape>
            <v:shape style="position:absolute;left:1145;top:1353;width:2920;height:205" type="#_x0000_t75" stroked="false">
              <v:imagedata r:id="rId7" o:title=""/>
            </v:shape>
            <v:shape style="position:absolute;left:4139;top:1439;width:60;height:31" type="#_x0000_t75" stroked="false">
              <v:imagedata r:id="rId8" o:title=""/>
            </v:shape>
            <v:shape style="position:absolute;left:4272;top:1350;width:3209;height:208" type="#_x0000_t75" stroked="false">
              <v:imagedata r:id="rId9" o:title=""/>
            </v:shape>
            <v:rect style="position:absolute;left:24;top:1949;width:11879;height:2" filled="true" fillcolor="#e1e2e3" stroked="false">
              <v:fill type="solid"/>
            </v:rect>
            <v:rect style="position:absolute;left:8;top:1950;width:11877;height:3941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5"/>
        </w:rPr>
      </w:pPr>
    </w:p>
    <w:p>
      <w:pPr>
        <w:tabs>
          <w:tab w:pos="2543" w:val="left" w:leader="none"/>
          <w:tab w:pos="5038" w:val="left" w:leader="none"/>
          <w:tab w:pos="6236" w:val="left" w:leader="none"/>
        </w:tabs>
        <w:spacing w:before="94"/>
        <w:ind w:left="1505" w:right="0" w:firstLine="0"/>
        <w:jc w:val="left"/>
        <w:rPr>
          <w:sz w:val="22"/>
        </w:rPr>
      </w:pPr>
      <w:r>
        <w:rPr>
          <w:b/>
          <w:color w:val="22A2B3"/>
          <w:sz w:val="22"/>
        </w:rPr>
        <w:t>Ho</w:t>
        <w:tab/>
      </w:r>
      <w:r>
        <w:rPr>
          <w:b/>
          <w:color w:val="18A2B5"/>
          <w:sz w:val="22"/>
        </w:rPr>
        <w:t>ne</w:t>
      </w:r>
      <w:r>
        <w:rPr>
          <w:b/>
          <w:color w:val="1CA5B8"/>
          <w:sz w:val="22"/>
        </w:rPr>
        <w:t>ss</w:t>
        <w:tab/>
      </w:r>
      <w:r>
        <w:rPr>
          <w:color w:val="1CA5B8"/>
          <w:sz w:val="22"/>
        </w:rPr>
        <w:t>H</w:t>
      </w:r>
      <w:r>
        <w:rPr>
          <w:color w:val="1CA5B8"/>
          <w:spacing w:val="60"/>
          <w:sz w:val="22"/>
        </w:rPr>
        <w:t> </w:t>
      </w:r>
      <w:r>
        <w:rPr>
          <w:color w:val="22A6B9"/>
          <w:sz w:val="22"/>
        </w:rPr>
        <w:t>a</w:t>
      </w:r>
      <w:r>
        <w:rPr>
          <w:color w:val="22A6B9"/>
          <w:spacing w:val="48"/>
          <w:sz w:val="22"/>
        </w:rPr>
        <w:t> </w:t>
      </w:r>
      <w:r>
        <w:rPr>
          <w:color w:val="23A6B8"/>
          <w:sz w:val="22"/>
        </w:rPr>
        <w:t>h</w:t>
      </w:r>
      <w:r>
        <w:rPr>
          <w:color w:val="23A6B8"/>
          <w:spacing w:val="1"/>
          <w:sz w:val="22"/>
        </w:rPr>
        <w:t> </w:t>
      </w:r>
      <w:r>
        <w:rPr>
          <w:shadow/>
          <w:color w:val="16A7B9"/>
          <w:sz w:val="22"/>
        </w:rPr>
        <w:t>P</w:t>
      </w:r>
      <w:r>
        <w:rPr>
          <w:shadow w:val="0"/>
          <w:color w:val="16A7B9"/>
          <w:sz w:val="22"/>
        </w:rPr>
        <w:t>r</w:t>
        <w:tab/>
        <w:t>es</w:t>
      </w:r>
    </w:p>
    <w:p>
      <w:pPr>
        <w:pStyle w:val="BodyText"/>
        <w:ind w:left="0" w:firstLine="0"/>
        <w:rPr>
          <w:sz w:val="24"/>
        </w:rPr>
      </w:pPr>
    </w:p>
    <w:p>
      <w:pPr>
        <w:pStyle w:val="Title"/>
      </w:pPr>
      <w:r>
        <w:rPr>
          <w:color w:val="4B8594"/>
        </w:rPr>
        <w:t>Income and Employment</w:t>
      </w:r>
    </w:p>
    <w:p>
      <w:pPr>
        <w:spacing w:before="241"/>
        <w:ind w:left="109" w:right="0" w:firstLine="0"/>
        <w:jc w:val="left"/>
        <w:rPr>
          <w:sz w:val="32"/>
        </w:rPr>
      </w:pPr>
      <w:r>
        <w:rPr>
          <w:color w:val="44687A"/>
          <w:sz w:val="32"/>
        </w:rPr>
        <w:t>City</w:t>
      </w:r>
      <w:r>
        <w:rPr>
          <w:color w:val="44687A"/>
          <w:spacing w:val="-2"/>
          <w:sz w:val="32"/>
        </w:rPr>
        <w:t> </w:t>
      </w:r>
      <w:r>
        <w:rPr>
          <w:color w:val="44687A"/>
          <w:sz w:val="32"/>
        </w:rPr>
        <w:t>of</w:t>
      </w:r>
      <w:r>
        <w:rPr>
          <w:color w:val="44687A"/>
          <w:spacing w:val="-1"/>
          <w:sz w:val="32"/>
        </w:rPr>
        <w:t> </w:t>
      </w:r>
      <w:r>
        <w:rPr>
          <w:color w:val="44687A"/>
          <w:sz w:val="32"/>
        </w:rPr>
        <w:t>Port</w:t>
      </w:r>
      <w:r>
        <w:rPr>
          <w:color w:val="44687A"/>
          <w:spacing w:val="-1"/>
          <w:sz w:val="32"/>
        </w:rPr>
        <w:t> </w:t>
      </w:r>
      <w:r>
        <w:rPr>
          <w:color w:val="44687A"/>
          <w:sz w:val="32"/>
        </w:rPr>
        <w:t>Phillip</w:t>
      </w:r>
      <w:r>
        <w:rPr>
          <w:color w:val="44687A"/>
          <w:spacing w:val="-1"/>
          <w:sz w:val="32"/>
        </w:rPr>
        <w:t> </w:t>
      </w:r>
      <w:r>
        <w:rPr>
          <w:color w:val="44687A"/>
          <w:sz w:val="32"/>
        </w:rPr>
        <w:t>Health</w:t>
      </w:r>
      <w:r>
        <w:rPr>
          <w:color w:val="44687A"/>
          <w:spacing w:val="-2"/>
          <w:sz w:val="32"/>
        </w:rPr>
        <w:t> </w:t>
      </w:r>
      <w:r>
        <w:rPr>
          <w:color w:val="44687A"/>
          <w:sz w:val="32"/>
        </w:rPr>
        <w:t>Profiles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spacing w:before="1"/>
        <w:ind w:left="109" w:right="240" w:firstLine="0"/>
        <w:jc w:val="left"/>
        <w:rPr>
          <w:sz w:val="32"/>
        </w:rPr>
      </w:pPr>
      <w:r>
        <w:rPr>
          <w:color w:val="4C4D4F"/>
          <w:sz w:val="32"/>
        </w:rPr>
        <w:t>Employment is linked to health in positive ways, both as a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mechanism</w:t>
      </w:r>
      <w:r>
        <w:rPr>
          <w:color w:val="4C4D4F"/>
          <w:spacing w:val="-2"/>
          <w:sz w:val="32"/>
        </w:rPr>
        <w:t> </w:t>
      </w:r>
      <w:r>
        <w:rPr>
          <w:color w:val="4C4D4F"/>
          <w:sz w:val="32"/>
        </w:rPr>
        <w:t>for</w:t>
      </w:r>
      <w:r>
        <w:rPr>
          <w:color w:val="4C4D4F"/>
          <w:spacing w:val="-2"/>
          <w:sz w:val="32"/>
        </w:rPr>
        <w:t> </w:t>
      </w:r>
      <w:r>
        <w:rPr>
          <w:color w:val="4C4D4F"/>
          <w:sz w:val="32"/>
        </w:rPr>
        <w:t>earning</w:t>
      </w:r>
      <w:r>
        <w:rPr>
          <w:color w:val="4C4D4F"/>
          <w:spacing w:val="-2"/>
          <w:sz w:val="32"/>
        </w:rPr>
        <w:t> </w:t>
      </w:r>
      <w:r>
        <w:rPr>
          <w:color w:val="4C4D4F"/>
          <w:sz w:val="32"/>
        </w:rPr>
        <w:t>income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and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other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material</w:t>
      </w:r>
      <w:r>
        <w:rPr>
          <w:color w:val="4C4D4F"/>
          <w:spacing w:val="-2"/>
          <w:sz w:val="32"/>
        </w:rPr>
        <w:t> </w:t>
      </w:r>
      <w:r>
        <w:rPr>
          <w:color w:val="4C4D4F"/>
          <w:sz w:val="32"/>
        </w:rPr>
        <w:t>benefits,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and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as</w:t>
      </w:r>
      <w:r>
        <w:rPr>
          <w:color w:val="4C4D4F"/>
          <w:spacing w:val="-85"/>
          <w:sz w:val="32"/>
        </w:rPr>
        <w:t> </w:t>
      </w:r>
      <w:r>
        <w:rPr>
          <w:color w:val="4C4D4F"/>
          <w:sz w:val="32"/>
        </w:rPr>
        <w:t>a source of social integration, status and meaning. However,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insecure and poor-quality employment exposes workers to health-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harming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physical and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mental health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stressors.</w:t>
      </w:r>
    </w:p>
    <w:p>
      <w:pPr>
        <w:pStyle w:val="BodyText"/>
        <w:ind w:left="0" w:firstLine="0"/>
        <w:rPr>
          <w:sz w:val="36"/>
        </w:rPr>
      </w:pP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employment</w:t>
      </w:r>
      <w:r>
        <w:rPr>
          <w:color w:val="44687A"/>
          <w:spacing w:val="1"/>
        </w:rPr>
        <w:t> </w:t>
      </w:r>
      <w:r>
        <w:rPr>
          <w:color w:val="44687A"/>
        </w:rPr>
        <w:t>and</w:t>
      </w:r>
      <w:r>
        <w:rPr>
          <w:color w:val="44687A"/>
          <w:spacing w:val="-3"/>
        </w:rPr>
        <w:t> </w:t>
      </w:r>
      <w:r>
        <w:rPr>
          <w:color w:val="44687A"/>
        </w:rPr>
        <w:t>income</w:t>
      </w:r>
      <w:r>
        <w:rPr>
          <w:color w:val="44687A"/>
          <w:spacing w:val="-4"/>
        </w:rPr>
        <w:t> </w:t>
      </w:r>
      <w:r>
        <w:rPr>
          <w:color w:val="44687A"/>
        </w:rPr>
        <w:t>prospects of</w:t>
      </w:r>
      <w:r>
        <w:rPr>
          <w:color w:val="44687A"/>
          <w:spacing w:val="1"/>
        </w:rPr>
        <w:t> </w:t>
      </w:r>
      <w:r>
        <w:rPr>
          <w:color w:val="44687A"/>
        </w:rPr>
        <w:t>Port</w:t>
      </w:r>
      <w:r>
        <w:rPr>
          <w:color w:val="44687A"/>
          <w:spacing w:val="-1"/>
        </w:rPr>
        <w:t> </w:t>
      </w:r>
      <w:r>
        <w:rPr>
          <w:color w:val="44687A"/>
        </w:rPr>
        <w:t>Phillip residents?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90" w:after="0"/>
        <w:ind w:left="829" w:right="498" w:hanging="361"/>
        <w:jc w:val="left"/>
        <w:rPr>
          <w:sz w:val="22"/>
        </w:rPr>
      </w:pPr>
      <w:r>
        <w:rPr>
          <w:color w:val="4C4D4F"/>
          <w:sz w:val="22"/>
        </w:rPr>
        <w:t>Port Phillip generally has high employment rates with 45 per cent of residents having 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income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highest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quartile,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26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Melbourne.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446" w:hanging="361"/>
        <w:jc w:val="left"/>
        <w:rPr>
          <w:sz w:val="22"/>
        </w:rPr>
      </w:pPr>
      <w:r>
        <w:rPr>
          <w:color w:val="4C4D4F"/>
          <w:sz w:val="22"/>
        </w:rPr>
        <w:t>While Port Phillip has a greater proportion of high-income earners, there remains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significant proportion of low-income earners with 14.8 per cent of households classed as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low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income.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76" w:lineRule="auto" w:before="127" w:after="0"/>
        <w:ind w:left="829" w:right="250" w:hanging="361"/>
        <w:jc w:val="left"/>
        <w:rPr>
          <w:sz w:val="22"/>
        </w:rPr>
      </w:pPr>
      <w:r>
        <w:rPr>
          <w:color w:val="4C4D4F"/>
          <w:sz w:val="22"/>
        </w:rPr>
        <w:t>Over the past 10 years, the unemployment rate in Port Phillip has remained lower than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average.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36" w:after="0"/>
        <w:ind w:left="830" w:right="300" w:hanging="361"/>
        <w:jc w:val="left"/>
        <w:rPr>
          <w:sz w:val="22"/>
        </w:rPr>
      </w:pPr>
      <w:r>
        <w:rPr>
          <w:color w:val="4C4D4F"/>
          <w:sz w:val="22"/>
        </w:rPr>
        <w:t>Port Phillip Council is a significant employer of people residing in the municipality. Other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significant employment sectors within Port Phillip include manufacturing, largely located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South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Melbourne, retail and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tourism.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4" w:after="0"/>
        <w:ind w:left="830" w:right="386" w:hanging="361"/>
        <w:jc w:val="left"/>
        <w:rPr>
          <w:sz w:val="22"/>
        </w:rPr>
      </w:pPr>
      <w:r>
        <w:rPr>
          <w:color w:val="4C4D4F"/>
          <w:sz w:val="22"/>
        </w:rPr>
        <w:t>Traditional sectors such as creative and cultural industries will continue to make a valued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contribution to Port Phillip’s social and economic dynamic if they can be retained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supported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prosper.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5" w:lineRule="auto" w:before="124" w:after="0"/>
        <w:ind w:left="830" w:right="145" w:hanging="361"/>
        <w:jc w:val="left"/>
        <w:rPr>
          <w:sz w:val="18"/>
        </w:rPr>
      </w:pPr>
      <w:r>
        <w:rPr>
          <w:color w:val="4C4D4F"/>
          <w:sz w:val="22"/>
        </w:rPr>
        <w:t>There has been increasing interest in identifying, acknowledging, and valuing unpaid work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that supports home and community life. Almost one in five Port Phillip residents provide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unpaid care to children and almost 9 per cent provide unpaid assistance to a person with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disability, long term illness or old age. Unpaid care provided by the population in Port Phillip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lower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(Australian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2016)</w:t>
      </w:r>
      <w:r>
        <w:rPr>
          <w:color w:val="4C4D4F"/>
          <w:sz w:val="18"/>
        </w:rPr>
        <w:t>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9"/>
        <w:ind w:left="0" w:firstLine="0"/>
      </w:pPr>
    </w:p>
    <w:p>
      <w:pPr>
        <w:pStyle w:val="Heading1"/>
      </w:pPr>
      <w:r>
        <w:rPr>
          <w:color w:val="44687A"/>
        </w:rPr>
        <w:t>COVID-19</w:t>
      </w:r>
      <w:r>
        <w:rPr>
          <w:color w:val="44687A"/>
          <w:spacing w:val="-4"/>
        </w:rPr>
        <w:t> </w:t>
      </w:r>
      <w:r>
        <w:rPr>
          <w:color w:val="44687A"/>
        </w:rPr>
        <w:t>Impacts</w:t>
      </w:r>
    </w:p>
    <w:p>
      <w:pPr>
        <w:pStyle w:val="BodyText"/>
        <w:spacing w:line="288" w:lineRule="auto" w:before="188"/>
        <w:ind w:left="109" w:right="544" w:firstLine="0"/>
      </w:pPr>
      <w:r>
        <w:rPr>
          <w:color w:val="4C4D4F"/>
        </w:rPr>
        <w:t>Due to uncertain market conditions and trading restrictions associated with COVID-19, Federal</w:t>
      </w:r>
      <w:r>
        <w:rPr>
          <w:color w:val="4C4D4F"/>
          <w:spacing w:val="-59"/>
        </w:rPr>
        <w:t> </w:t>
      </w:r>
      <w:r>
        <w:rPr>
          <w:color w:val="4C4D4F"/>
        </w:rPr>
        <w:t>Government support is playing a greater role in providing employment and income support to</w:t>
      </w:r>
      <w:r>
        <w:rPr>
          <w:color w:val="4C4D4F"/>
          <w:spacing w:val="1"/>
        </w:rPr>
        <w:t> </w:t>
      </w:r>
      <w:r>
        <w:rPr>
          <w:color w:val="4C4D4F"/>
        </w:rPr>
        <w:t>Australians. This is primarily through the JobSeeker and JobKeeper Payment programs, which</w:t>
      </w:r>
      <w:r>
        <w:rPr>
          <w:color w:val="4C4D4F"/>
          <w:spacing w:val="-59"/>
        </w:rPr>
        <w:t> </w:t>
      </w:r>
      <w:r>
        <w:rPr>
          <w:color w:val="4C4D4F"/>
        </w:rPr>
        <w:t>provide financial support to individuals looking for work and businesses struggling to keep their</w:t>
      </w:r>
      <w:r>
        <w:rPr>
          <w:color w:val="4C4D4F"/>
          <w:spacing w:val="-59"/>
        </w:rPr>
        <w:t> </w:t>
      </w:r>
      <w:r>
        <w:rPr>
          <w:color w:val="4C4D4F"/>
        </w:rPr>
        <w:t>workers</w:t>
      </w:r>
      <w:r>
        <w:rPr>
          <w:color w:val="4C4D4F"/>
          <w:spacing w:val="-2"/>
        </w:rPr>
        <w:t> </w:t>
      </w:r>
      <w:r>
        <w:rPr>
          <w:color w:val="4C4D4F"/>
        </w:rPr>
        <w:t>employed.</w:t>
      </w:r>
    </w:p>
    <w:p>
      <w:pPr>
        <w:spacing w:after="0" w:line="288" w:lineRule="auto"/>
        <w:sectPr>
          <w:type w:val="continuous"/>
          <w:pgSz w:w="11910" w:h="16840"/>
          <w:pgMar w:top="0" w:bottom="280" w:left="1020" w:right="1020"/>
        </w:sectPr>
      </w:pP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01" w:after="0"/>
        <w:ind w:left="829" w:right="163" w:hanging="361"/>
        <w:jc w:val="left"/>
        <w:rPr>
          <w:sz w:val="22"/>
        </w:rPr>
      </w:pPr>
      <w:r>
        <w:rPr>
          <w:color w:val="4C4D4F"/>
          <w:sz w:val="22"/>
        </w:rPr>
        <w:t>In November, 7.4 per cent of the Port Phillip Community was receiving Job Seeker or youth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allowance. This is almost a threefold increase compared to the previous year.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Comparatively, it is a lower proportion than Greater Melbourne (8.3 per cent) and Victoria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(8.8 per cent), and it has dropped from a high of 8.0 per cent in August 2020 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Social Services,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2" w:after="0"/>
        <w:ind w:left="829" w:right="215" w:hanging="361"/>
        <w:jc w:val="left"/>
        <w:rPr>
          <w:sz w:val="22"/>
        </w:rPr>
      </w:pPr>
      <w:r>
        <w:rPr>
          <w:color w:val="4C4D4F"/>
          <w:sz w:val="22"/>
        </w:rPr>
        <w:t>The areas within Port Phillip that have the highest proportion of JobSeeker recipients are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Port Melbourne Industrial (19.3 per cent), St Kilda (8.9 per cent), South Melbourne (8.4 per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cent),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St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Kilda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East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(7.6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per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cent).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These areas have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rates comparable with</w:t>
      </w:r>
      <w:r>
        <w:rPr>
          <w:color w:val="4C4D4F"/>
          <w:spacing w:val="-21"/>
          <w:sz w:val="22"/>
        </w:rPr>
        <w:t> </w:t>
      </w:r>
      <w:r>
        <w:rPr>
          <w:color w:val="4C4D4F"/>
          <w:sz w:val="22"/>
        </w:rPr>
        <w:t>Victoria.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223" w:hanging="361"/>
        <w:jc w:val="left"/>
        <w:rPr>
          <w:sz w:val="22"/>
        </w:rPr>
      </w:pPr>
      <w:r>
        <w:rPr>
          <w:color w:val="4C4D4F"/>
          <w:sz w:val="22"/>
        </w:rPr>
        <w:t>High Street vacancy rates to the six months ending December 2020 indicate the highest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proportion of vacancies is on Fitzroy Street (where 12% of business premises are vacant –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 total of 15 properties) followed by Acland Street (11% or 14 properties), Carlisle Street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(7% or 14 properties), Bay Street (7% or 16 properties), Clarendon Street (6% or 12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properties)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Ormond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Street (4%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3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properties)</w:t>
      </w:r>
      <w:r>
        <w:rPr>
          <w:color w:val="4C4D4F"/>
          <w:position w:val="6"/>
          <w:sz w:val="13"/>
        </w:rPr>
        <w:t>1</w:t>
      </w:r>
      <w:r>
        <w:rPr>
          <w:color w:val="4C4D4F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8" w:lineRule="auto" w:before="134" w:after="0"/>
        <w:ind w:left="829" w:right="192" w:hanging="361"/>
        <w:jc w:val="left"/>
        <w:rPr>
          <w:sz w:val="22"/>
        </w:rPr>
      </w:pPr>
      <w:r>
        <w:rPr>
          <w:color w:val="4C4D4F"/>
          <w:sz w:val="22"/>
        </w:rPr>
        <w:t>Early evidence suggests that employed residents have fared better than their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 and Victorian counterparts during the COVID-19 pandemic. However,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 on estimated Gross Regional Product and Local Jobs is higher in the City of 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Phillip compared to the Greater Melbourne and Victoria (National Institute of Economic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Industry Research, 2020), due to its reliance on tourism and exposure to fluctuation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consumer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demand.</w:t>
      </w:r>
    </w:p>
    <w:p>
      <w:pPr>
        <w:pStyle w:val="BodyText"/>
        <w:spacing w:line="288" w:lineRule="auto" w:before="108"/>
        <w:ind w:left="109" w:right="105" w:firstLine="0"/>
      </w:pPr>
      <w:r>
        <w:rPr>
          <w:color w:val="4C4D4F"/>
        </w:rPr>
        <w:t>While still high by historical standards, employment trends are beginning to improve across Victoria</w:t>
      </w:r>
      <w:r>
        <w:rPr>
          <w:color w:val="4C4D4F"/>
          <w:spacing w:val="-59"/>
        </w:rPr>
        <w:t> </w:t>
      </w:r>
      <w:r>
        <w:rPr>
          <w:color w:val="4C4D4F"/>
        </w:rPr>
        <w:t>as</w:t>
      </w:r>
      <w:r>
        <w:rPr>
          <w:color w:val="4C4D4F"/>
          <w:spacing w:val="-1"/>
        </w:rPr>
        <w:t> </w:t>
      </w:r>
      <w:r>
        <w:rPr>
          <w:color w:val="4C4D4F"/>
        </w:rPr>
        <w:t>COVID-19</w:t>
      </w:r>
      <w:r>
        <w:rPr>
          <w:color w:val="4C4D4F"/>
          <w:spacing w:val="-2"/>
        </w:rPr>
        <w:t> </w:t>
      </w:r>
      <w:r>
        <w:rPr>
          <w:color w:val="4C4D4F"/>
        </w:rPr>
        <w:t>restrictions</w:t>
      </w:r>
      <w:r>
        <w:rPr>
          <w:color w:val="4C4D4F"/>
          <w:spacing w:val="-2"/>
        </w:rPr>
        <w:t> </w:t>
      </w:r>
      <w:r>
        <w:rPr>
          <w:color w:val="4C4D4F"/>
        </w:rPr>
        <w:t>have been</w:t>
      </w:r>
      <w:r>
        <w:rPr>
          <w:color w:val="4C4D4F"/>
          <w:spacing w:val="-3"/>
        </w:rPr>
        <w:t> </w:t>
      </w:r>
      <w:r>
        <w:rPr>
          <w:color w:val="4C4D4F"/>
        </w:rPr>
        <w:t>eased. In November: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2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Victoria’s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unemployment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fell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7.1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7.4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October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Underemployment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fell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even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further,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13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10.6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cent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70" w:after="0"/>
        <w:ind w:left="829" w:right="569" w:hanging="361"/>
        <w:jc w:val="left"/>
        <w:rPr>
          <w:sz w:val="22"/>
        </w:rPr>
      </w:pPr>
      <w:r>
        <w:rPr>
          <w:color w:val="4C4D4F"/>
          <w:sz w:val="22"/>
        </w:rPr>
        <w:t>The participation rate increased from 65 per cent to 66.2 per cent (Australian Bureau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2020)</w:t>
      </w:r>
    </w:p>
    <w:p>
      <w:pPr>
        <w:pStyle w:val="BodyText"/>
        <w:spacing w:line="288" w:lineRule="auto" w:before="128"/>
        <w:ind w:left="109" w:right="630" w:firstLine="0"/>
      </w:pPr>
      <w:r>
        <w:rPr>
          <w:color w:val="4C4D4F"/>
        </w:rPr>
        <w:t>These economic trends have had significant impacts on the lives of Victorians. During the first</w:t>
      </w:r>
      <w:r>
        <w:rPr>
          <w:color w:val="4C4D4F"/>
          <w:spacing w:val="-59"/>
        </w:rPr>
        <w:t> </w:t>
      </w:r>
      <w:r>
        <w:rPr>
          <w:color w:val="4C4D4F"/>
        </w:rPr>
        <w:t>2020 lockdown, a large number of Victorians experienced financial hardships, increasing</w:t>
      </w:r>
      <w:r>
        <w:rPr>
          <w:color w:val="4C4D4F"/>
          <w:spacing w:val="1"/>
        </w:rPr>
        <w:t> </w:t>
      </w:r>
      <w:r>
        <w:rPr>
          <w:color w:val="4C4D4F"/>
        </w:rPr>
        <w:t>uncertainty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many were concerned</w:t>
      </w:r>
      <w:r>
        <w:rPr>
          <w:color w:val="4C4D4F"/>
          <w:spacing w:val="-1"/>
        </w:rPr>
        <w:t> </w:t>
      </w:r>
      <w:r>
        <w:rPr>
          <w:color w:val="4C4D4F"/>
        </w:rPr>
        <w:t>about their</w:t>
      </w:r>
      <w:r>
        <w:rPr>
          <w:color w:val="4C4D4F"/>
          <w:spacing w:val="-3"/>
        </w:rPr>
        <w:t> </w:t>
      </w:r>
      <w:r>
        <w:rPr>
          <w:color w:val="4C4D4F"/>
        </w:rPr>
        <w:t>job prospects.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4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1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4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experienced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financial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hardship,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1 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before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it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started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29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worried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about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job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prospects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1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10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reported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lost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job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0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4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10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took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 pay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cut</w:t>
      </w:r>
    </w:p>
    <w:p>
      <w:pPr>
        <w:pStyle w:val="BodyText"/>
        <w:spacing w:before="8"/>
        <w:ind w:left="0" w:firstLine="0"/>
        <w:rPr>
          <w:sz w:val="20"/>
        </w:rPr>
      </w:pPr>
      <w:r>
        <w:rPr/>
        <w:pict>
          <v:rect style="position:absolute;margin-left:56.48pt;margin-top:13.878886pt;width:144.050pt;height:.600010pt;mso-position-horizontal-relative:page;mso-position-vertical-relative:paragraph;z-index:-15728128;mso-wrap-distance-left:0;mso-wrap-distance-right:0" filled="true" fillcolor="#4c4d4f" stroked="false">
            <v:fill type="solid"/>
            <w10:wrap type="topAndBottom"/>
          </v:rect>
        </w:pic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29"/>
        </w:rPr>
      </w:pPr>
    </w:p>
    <w:p>
      <w:pPr>
        <w:spacing w:line="290" w:lineRule="auto" w:before="1"/>
        <w:ind w:left="109" w:right="156" w:firstLine="0"/>
        <w:jc w:val="left"/>
        <w:rPr>
          <w:sz w:val="18"/>
        </w:rPr>
      </w:pPr>
      <w:r>
        <w:rPr>
          <w:color w:val="4C4D4F"/>
          <w:position w:val="6"/>
          <w:sz w:val="13"/>
        </w:rPr>
        <w:t>1 </w:t>
      </w:r>
      <w:r>
        <w:rPr>
          <w:color w:val="4C4D4F"/>
          <w:sz w:val="18"/>
        </w:rPr>
        <w:t>Please note: these vacancy count reflects properties along the above named ‘high streets’ only. It is acknowledged that</w:t>
      </w:r>
      <w:r>
        <w:rPr>
          <w:color w:val="4C4D4F"/>
          <w:spacing w:val="-47"/>
          <w:sz w:val="18"/>
        </w:rPr>
        <w:t> </w:t>
      </w:r>
      <w:r>
        <w:rPr>
          <w:color w:val="4C4D4F"/>
          <w:sz w:val="18"/>
        </w:rPr>
        <w:t>in some cases, the above ‘high streets’ are also connected to incorporate business associations who also report on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vacancy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counts that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include a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wider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precinct,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every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six months via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their Special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Rate</w:t>
      </w:r>
      <w:r>
        <w:rPr>
          <w:color w:val="4C4D4F"/>
          <w:spacing w:val="-3"/>
          <w:sz w:val="18"/>
        </w:rPr>
        <w:t> </w:t>
      </w:r>
      <w:r>
        <w:rPr>
          <w:color w:val="4C4D4F"/>
          <w:sz w:val="18"/>
        </w:rPr>
        <w:t>agreements.</w:t>
      </w:r>
    </w:p>
    <w:p>
      <w:pPr>
        <w:spacing w:after="0" w:line="290" w:lineRule="auto"/>
        <w:jc w:val="left"/>
        <w:rPr>
          <w:sz w:val="18"/>
        </w:rPr>
        <w:sectPr>
          <w:headerReference w:type="default" r:id="rId10"/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1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6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forced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take unpaid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leave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4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10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hours cut back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Young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aged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18-24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were 2.5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times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likely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 lose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job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4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Those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disability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two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times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likely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lose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job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(VicHealth,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</w:pPr>
      <w:r>
        <w:rPr>
          <w:color w:val="44687A"/>
        </w:rPr>
        <w:t>Why is</w:t>
      </w:r>
      <w:r>
        <w:rPr>
          <w:color w:val="44687A"/>
          <w:spacing w:val="-2"/>
        </w:rPr>
        <w:t> </w:t>
      </w:r>
      <w:r>
        <w:rPr>
          <w:color w:val="44687A"/>
        </w:rPr>
        <w:t>participation</w:t>
      </w:r>
      <w:r>
        <w:rPr>
          <w:color w:val="44687A"/>
          <w:spacing w:val="-4"/>
        </w:rPr>
        <w:t> </w:t>
      </w:r>
      <w:r>
        <w:rPr>
          <w:color w:val="44687A"/>
        </w:rPr>
        <w:t>in</w:t>
      </w:r>
      <w:r>
        <w:rPr>
          <w:color w:val="44687A"/>
          <w:spacing w:val="-1"/>
        </w:rPr>
        <w:t> </w:t>
      </w:r>
      <w:r>
        <w:rPr>
          <w:color w:val="44687A"/>
        </w:rPr>
        <w:t>healthy</w:t>
      </w:r>
      <w:r>
        <w:rPr>
          <w:color w:val="44687A"/>
          <w:spacing w:val="-2"/>
        </w:rPr>
        <w:t> </w:t>
      </w:r>
      <w:r>
        <w:rPr>
          <w:color w:val="44687A"/>
        </w:rPr>
        <w:t>work</w:t>
      </w:r>
      <w:r>
        <w:rPr>
          <w:color w:val="44687A"/>
          <w:spacing w:val="-2"/>
        </w:rPr>
        <w:t> </w:t>
      </w:r>
      <w:r>
        <w:rPr>
          <w:color w:val="44687A"/>
        </w:rPr>
        <w:t>important?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5" w:lineRule="auto" w:before="190" w:after="0"/>
        <w:ind w:left="829" w:right="242" w:hanging="361"/>
        <w:jc w:val="left"/>
        <w:rPr>
          <w:sz w:val="22"/>
        </w:rPr>
      </w:pPr>
      <w:r>
        <w:rPr>
          <w:color w:val="4C4D4F"/>
          <w:sz w:val="22"/>
        </w:rPr>
        <w:t>There is an established relationship between employment and health. Being in good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employment is protective of health and wellbeing, and particularly mental health. Insecure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poor-quality employment is associated with increased risk of poor physical and mental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health, including through contributing to stress, anxiety, and depression (Mathers &amp;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Schofield,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1998).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353" w:hanging="361"/>
        <w:jc w:val="left"/>
        <w:rPr>
          <w:sz w:val="22"/>
        </w:rPr>
      </w:pPr>
      <w:r>
        <w:rPr>
          <w:color w:val="4C4D4F"/>
          <w:sz w:val="22"/>
        </w:rPr>
        <w:t>The benefits of work include physical activity, providing a sense of community and social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inclusion, a feeling of contributing to society and family, providing structure to days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weeks, financial security, and a reduced likelihood of risky behaviours, such as excessive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drinking.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398" w:hanging="361"/>
        <w:jc w:val="left"/>
        <w:rPr>
          <w:sz w:val="22"/>
        </w:rPr>
      </w:pPr>
      <w:r>
        <w:rPr>
          <w:color w:val="4C4D4F"/>
          <w:sz w:val="22"/>
        </w:rPr>
        <w:t>Unemployed people have a higher risk of death and have more illness and disability than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those of a similar age who are employed. The psychosocial stress caused by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unemployment has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strong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impact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mental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wellbeing.</w:t>
      </w:r>
    </w:p>
    <w:p>
      <w:pPr>
        <w:pStyle w:val="Heading1"/>
        <w:spacing w:before="92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Council’s</w:t>
      </w:r>
      <w:r>
        <w:rPr>
          <w:color w:val="44687A"/>
          <w:spacing w:val="-1"/>
        </w:rPr>
        <w:t> </w:t>
      </w:r>
      <w:r>
        <w:rPr>
          <w:color w:val="44687A"/>
        </w:rPr>
        <w:t>role?</w:t>
      </w:r>
    </w:p>
    <w:p>
      <w:pPr>
        <w:pStyle w:val="BodyText"/>
        <w:spacing w:line="259" w:lineRule="auto" w:before="191"/>
        <w:ind w:left="109" w:right="838" w:firstLine="0"/>
      </w:pPr>
      <w:r>
        <w:rPr>
          <w:color w:val="4C4D4F"/>
        </w:rPr>
        <w:t>It is clear that COVID-19 has and will continue to have a significant impact on our economy,</w:t>
      </w:r>
      <w:r>
        <w:rPr>
          <w:color w:val="4C4D4F"/>
          <w:spacing w:val="-59"/>
        </w:rPr>
        <w:t> </w:t>
      </w:r>
      <w:r>
        <w:rPr>
          <w:color w:val="4C4D4F"/>
        </w:rPr>
        <w:t>including</w:t>
      </w:r>
      <w:r>
        <w:rPr>
          <w:color w:val="4C4D4F"/>
          <w:spacing w:val="-1"/>
        </w:rPr>
        <w:t> </w:t>
      </w:r>
      <w:r>
        <w:rPr>
          <w:color w:val="4C4D4F"/>
        </w:rPr>
        <w:t>employment and income</w:t>
      </w:r>
      <w:r>
        <w:rPr>
          <w:color w:val="4C4D4F"/>
          <w:spacing w:val="-2"/>
        </w:rPr>
        <w:t> </w:t>
      </w:r>
      <w:r>
        <w:rPr>
          <w:color w:val="4C4D4F"/>
        </w:rPr>
        <w:t>prospects.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spacing w:line="259" w:lineRule="auto" w:before="1"/>
        <w:ind w:left="109" w:right="422" w:firstLine="0"/>
      </w:pPr>
      <w:r>
        <w:rPr>
          <w:color w:val="4C4D4F"/>
        </w:rPr>
        <w:t>Whilst the Commonwealth and Victorian Governments, in partnership with the business sector,</w:t>
      </w:r>
      <w:r>
        <w:rPr>
          <w:color w:val="4C4D4F"/>
          <w:spacing w:val="1"/>
        </w:rPr>
        <w:t> </w:t>
      </w:r>
      <w:r>
        <w:rPr>
          <w:color w:val="4C4D4F"/>
        </w:rPr>
        <w:t>have a significant role to play in addressing our sliding economy, local governments also have a</w:t>
      </w:r>
      <w:r>
        <w:rPr>
          <w:color w:val="4C4D4F"/>
          <w:spacing w:val="-59"/>
        </w:rPr>
        <w:t> </w:t>
      </w:r>
      <w:r>
        <w:rPr>
          <w:color w:val="4C4D4F"/>
        </w:rPr>
        <w:t>role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play in</w:t>
      </w:r>
      <w:r>
        <w:rPr>
          <w:color w:val="4C4D4F"/>
          <w:spacing w:val="-1"/>
        </w:rPr>
        <w:t> </w:t>
      </w:r>
      <w:r>
        <w:rPr>
          <w:color w:val="4C4D4F"/>
        </w:rPr>
        <w:t>stimulating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economy of</w:t>
      </w:r>
      <w:r>
        <w:rPr>
          <w:color w:val="4C4D4F"/>
          <w:spacing w:val="-1"/>
        </w:rPr>
        <w:t> </w:t>
      </w:r>
      <w:r>
        <w:rPr>
          <w:color w:val="4C4D4F"/>
        </w:rPr>
        <w:t>their</w:t>
      </w:r>
      <w:r>
        <w:rPr>
          <w:color w:val="4C4D4F"/>
          <w:spacing w:val="-1"/>
        </w:rPr>
        <w:t> </w:t>
      </w:r>
      <w:r>
        <w:rPr>
          <w:color w:val="4C4D4F"/>
        </w:rPr>
        <w:t>municipalities.</w:t>
      </w:r>
      <w:r>
        <w:rPr>
          <w:color w:val="4C4D4F"/>
          <w:spacing w:val="1"/>
        </w:rPr>
        <w:t> </w:t>
      </w:r>
      <w:r>
        <w:rPr>
          <w:color w:val="4C4D4F"/>
        </w:rPr>
        <w:t>This includes: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0" w:after="0"/>
        <w:ind w:left="829" w:right="939" w:hanging="361"/>
        <w:jc w:val="left"/>
        <w:rPr>
          <w:sz w:val="22"/>
        </w:rPr>
      </w:pPr>
      <w:r>
        <w:rPr>
          <w:color w:val="4C4D4F"/>
          <w:sz w:val="22"/>
        </w:rPr>
        <w:t>Supporting local business and activity centres in our community to remain viable by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developing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strategies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continue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draw visitors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tourists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21"/>
          <w:sz w:val="22"/>
        </w:rPr>
        <w:t> </w:t>
      </w:r>
      <w:r>
        <w:rPr>
          <w:color w:val="4C4D4F"/>
          <w:sz w:val="22"/>
        </w:rPr>
        <w:t>Phillip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3" w:after="0"/>
        <w:ind w:left="829" w:right="118" w:hanging="361"/>
        <w:jc w:val="left"/>
        <w:rPr>
          <w:sz w:val="22"/>
        </w:rPr>
      </w:pPr>
      <w:r>
        <w:rPr>
          <w:color w:val="4C4D4F"/>
          <w:sz w:val="22"/>
        </w:rPr>
        <w:t>Providing business mentoring, training, and support for new and existing businesses to help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develop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grow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 partnership with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 state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government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sz w:val="22"/>
        </w:rPr>
      </w:pPr>
      <w:r>
        <w:rPr>
          <w:color w:val="4C4D4F"/>
          <w:spacing w:val="-1"/>
          <w:sz w:val="22"/>
        </w:rPr>
        <w:t>Working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with local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co-working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spaces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grow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start-up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ecosystem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20"/>
          <w:sz w:val="22"/>
        </w:rPr>
        <w:t> </w:t>
      </w:r>
      <w:r>
        <w:rPr>
          <w:color w:val="4C4D4F"/>
          <w:sz w:val="22"/>
        </w:rPr>
        <w:t>Phillip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65" w:after="0"/>
        <w:ind w:left="829" w:right="323" w:hanging="361"/>
        <w:jc w:val="left"/>
        <w:rPr>
          <w:sz w:val="22"/>
        </w:rPr>
      </w:pPr>
      <w:r>
        <w:rPr>
          <w:color w:val="4C4D4F"/>
          <w:sz w:val="22"/>
        </w:rPr>
        <w:t>Operating three Special Rates in Port Melbourne, Acland Street Village and Fitzroy Street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for the sole purpose of marketing, promotion and business development of the specified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Activity Centre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2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Supporting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local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Traders’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Associations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achieve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economic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67" w:after="0"/>
        <w:ind w:left="830" w:right="253" w:hanging="361"/>
        <w:jc w:val="left"/>
        <w:rPr>
          <w:sz w:val="22"/>
        </w:rPr>
      </w:pPr>
      <w:r>
        <w:rPr>
          <w:color w:val="4C4D4F"/>
          <w:sz w:val="22"/>
        </w:rPr>
        <w:t>Maintaining opportunities for employment for those in the creative industry through staging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public events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festivals.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BodyText"/>
        <w:spacing w:before="10"/>
        <w:ind w:left="0" w:firstLine="0"/>
        <w:rPr>
          <w:sz w:val="11"/>
        </w:rPr>
      </w:pPr>
    </w:p>
    <w:p>
      <w:pPr>
        <w:pStyle w:val="Heading1"/>
        <w:spacing w:before="92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7"/>
        <w:ind w:left="109" w:right="135" w:firstLine="0"/>
        <w:jc w:val="both"/>
      </w:pPr>
      <w:r>
        <w:rPr>
          <w:color w:val="4C4D4F"/>
        </w:rPr>
        <w:t>Responding to the complex and multidimensional effects of COVID-19 on employment and income</w:t>
      </w:r>
      <w:r>
        <w:rPr>
          <w:color w:val="4C4D4F"/>
          <w:spacing w:val="-59"/>
        </w:rPr>
        <w:t> </w:t>
      </w:r>
      <w:r>
        <w:rPr>
          <w:color w:val="4C4D4F"/>
        </w:rPr>
        <w:t>prospects in our community requires the input and support of community organisations and various</w:t>
      </w:r>
      <w:r>
        <w:rPr>
          <w:color w:val="4C4D4F"/>
          <w:spacing w:val="-59"/>
        </w:rPr>
        <w:t> </w:t>
      </w:r>
      <w:r>
        <w:rPr>
          <w:color w:val="4C4D4F"/>
        </w:rPr>
        <w:t>sectors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2"/>
        </w:rPr>
        <w:t> </w:t>
      </w:r>
      <w:r>
        <w:rPr>
          <w:color w:val="4C4D4F"/>
        </w:rPr>
        <w:t>our</w:t>
      </w:r>
      <w:r>
        <w:rPr>
          <w:color w:val="4C4D4F"/>
          <w:spacing w:val="1"/>
        </w:rPr>
        <w:t> </w:t>
      </w:r>
      <w:r>
        <w:rPr>
          <w:color w:val="4C4D4F"/>
        </w:rPr>
        <w:t>local economy.</w:t>
      </w:r>
      <w:r>
        <w:rPr>
          <w:color w:val="4C4D4F"/>
          <w:spacing w:val="-1"/>
        </w:rPr>
        <w:t> </w:t>
      </w:r>
      <w:r>
        <w:rPr>
          <w:color w:val="4C4D4F"/>
        </w:rPr>
        <w:t>Some</w:t>
      </w:r>
      <w:r>
        <w:rPr>
          <w:color w:val="4C4D4F"/>
          <w:spacing w:val="-2"/>
        </w:rPr>
        <w:t> </w:t>
      </w:r>
      <w:r>
        <w:rPr>
          <w:color w:val="4C4D4F"/>
        </w:rPr>
        <w:t>of our</w:t>
      </w:r>
      <w:r>
        <w:rPr>
          <w:color w:val="4C4D4F"/>
          <w:spacing w:val="1"/>
        </w:rPr>
        <w:t> </w:t>
      </w:r>
      <w:r>
        <w:rPr>
          <w:color w:val="4C4D4F"/>
        </w:rPr>
        <w:t>key</w:t>
      </w:r>
      <w:r>
        <w:rPr>
          <w:color w:val="4C4D4F"/>
          <w:spacing w:val="-1"/>
        </w:rPr>
        <w:t> </w:t>
      </w:r>
      <w:r>
        <w:rPr>
          <w:color w:val="4C4D4F"/>
        </w:rPr>
        <w:t>partners include: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22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Victorian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Government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particular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Creative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Victoria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Tourism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67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Neighbouring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Councils’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67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Arts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Creative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Sector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67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Live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music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industry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Games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67" w:after="0"/>
        <w:ind w:left="830" w:right="0" w:hanging="362"/>
        <w:jc w:val="both"/>
        <w:rPr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traders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trader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associations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6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90" w:after="0"/>
        <w:ind w:left="829" w:right="452" w:hanging="361"/>
        <w:jc w:val="left"/>
        <w:rPr>
          <w:sz w:val="22"/>
        </w:rPr>
      </w:pPr>
      <w:r>
        <w:rPr>
          <w:color w:val="4C4D4F"/>
          <w:sz w:val="22"/>
        </w:rPr>
        <w:t>Gentrification, escalating land values, and the rising cost of rents present a challenge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small businesses.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nature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economic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interactions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changing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within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our community,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result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of: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65" w:after="0"/>
        <w:ind w:left="1550" w:right="0" w:hanging="362"/>
        <w:jc w:val="left"/>
        <w:rPr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concerns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about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sustainability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33" w:after="0"/>
        <w:ind w:left="1550" w:right="0" w:hanging="361"/>
        <w:jc w:val="left"/>
        <w:rPr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changing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retail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31" w:after="0"/>
        <w:ind w:left="1550" w:right="0" w:hanging="361"/>
        <w:jc w:val="left"/>
        <w:rPr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collaborative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consumption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sharing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economy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40" w:lineRule="auto" w:before="133" w:after="0"/>
        <w:ind w:left="1550" w:right="0" w:hanging="361"/>
        <w:jc w:val="left"/>
        <w:rPr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emergence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flexible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employment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models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3" w:after="0"/>
        <w:ind w:left="830" w:right="118" w:hanging="361"/>
        <w:jc w:val="left"/>
        <w:rPr>
          <w:sz w:val="22"/>
        </w:rPr>
      </w:pPr>
      <w:r>
        <w:rPr>
          <w:color w:val="4C4D4F"/>
          <w:sz w:val="22"/>
        </w:rPr>
        <w:t>There is likely to be more people looking for work, as the impact of the COVID-19 pandemic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has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seen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unemployment rate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increase.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30" w:after="0"/>
        <w:ind w:left="830" w:right="595" w:hanging="361"/>
        <w:jc w:val="left"/>
        <w:rPr>
          <w:sz w:val="22"/>
        </w:rPr>
      </w:pPr>
      <w:r>
        <w:rPr>
          <w:color w:val="4C4D4F"/>
          <w:sz w:val="22"/>
        </w:rPr>
        <w:t>Mortgage and rental stress levels are likely to increase once Jobkeeper and Jobseeker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payments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ends.</w:t>
      </w:r>
    </w:p>
    <w:p>
      <w:pPr>
        <w:pStyle w:val="BodyText"/>
        <w:ind w:left="0" w:firstLine="0"/>
        <w:rPr>
          <w:sz w:val="24"/>
        </w:rPr>
      </w:pPr>
    </w:p>
    <w:p>
      <w:pPr>
        <w:spacing w:before="158"/>
        <w:ind w:left="109" w:right="0" w:firstLine="0"/>
        <w:jc w:val="left"/>
        <w:rPr>
          <w:b/>
          <w:sz w:val="32"/>
        </w:rPr>
      </w:pPr>
      <w:r>
        <w:rPr>
          <w:b/>
          <w:color w:val="44687A"/>
          <w:sz w:val="32"/>
        </w:rPr>
        <w:t>References</w:t>
      </w:r>
    </w:p>
    <w:p>
      <w:pPr>
        <w:spacing w:line="288" w:lineRule="auto" w:before="239"/>
        <w:ind w:left="109" w:right="1022" w:firstLine="0"/>
        <w:jc w:val="left"/>
        <w:rPr>
          <w:sz w:val="22"/>
        </w:rPr>
      </w:pPr>
      <w:r>
        <w:rPr>
          <w:color w:val="4C4D4F"/>
          <w:sz w:val="22"/>
        </w:rPr>
        <w:t>Australian Bureau of Statistics, 2016. </w:t>
      </w:r>
      <w:r>
        <w:rPr>
          <w:i/>
          <w:color w:val="4C4D4F"/>
          <w:sz w:val="22"/>
        </w:rPr>
        <w:t>City of Port Phillip: Unpaid domestic work, </w:t>
      </w:r>
      <w:r>
        <w:rPr>
          <w:color w:val="4C4D4F"/>
          <w:sz w:val="22"/>
        </w:rPr>
        <w:t>s.l.: ABS,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compiled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presented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 profile.id by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.id.</w:t>
      </w:r>
    </w:p>
    <w:p>
      <w:pPr>
        <w:spacing w:before="118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Labour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Force,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Australia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-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Reference</w:t>
      </w:r>
      <w:r>
        <w:rPr>
          <w:i/>
          <w:color w:val="4C4D4F"/>
          <w:spacing w:val="-6"/>
          <w:sz w:val="22"/>
        </w:rPr>
        <w:t> </w:t>
      </w:r>
      <w:r>
        <w:rPr>
          <w:i/>
          <w:color w:val="4C4D4F"/>
          <w:sz w:val="22"/>
        </w:rPr>
        <w:t>period: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November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2020.</w:t>
      </w:r>
    </w:p>
    <w:p>
      <w:pPr>
        <w:pStyle w:val="BodyText"/>
        <w:spacing w:before="54"/>
        <w:ind w:left="109" w:firstLine="0"/>
      </w:pPr>
      <w:r>
        <w:rPr>
          <w:color w:val="4C4D4F"/>
        </w:rPr>
        <w:t>[Online]</w:t>
      </w:r>
    </w:p>
    <w:p>
      <w:pPr>
        <w:pStyle w:val="BodyText"/>
        <w:spacing w:line="285" w:lineRule="auto" w:before="50"/>
        <w:ind w:left="109" w:right="115" w:hanging="1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11">
        <w:r>
          <w:rPr>
            <w:color w:val="4C4D4F"/>
            <w:u w:val="single" w:color="4C4D4F"/>
          </w:rPr>
          <w:t>www.abs.gov.au/statistics/labour/employment-and-unemployment/labour-force-</w:t>
        </w:r>
      </w:hyperlink>
      <w:r>
        <w:rPr>
          <w:color w:val="4C4D4F"/>
          <w:spacing w:val="-59"/>
        </w:rPr>
        <w:t> </w:t>
      </w:r>
      <w:r>
        <w:rPr>
          <w:color w:val="4C4D4F"/>
          <w:u w:val="single" w:color="4C4D4F"/>
        </w:rPr>
        <w:t>australia/nov-2020</w:t>
      </w:r>
    </w:p>
    <w:p>
      <w:pPr>
        <w:pStyle w:val="BodyText"/>
        <w:spacing w:before="5"/>
        <w:ind w:left="109" w:firstLine="0"/>
      </w:pP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6</w:t>
      </w:r>
      <w:r>
        <w:rPr>
          <w:color w:val="4C4D4F"/>
          <w:spacing w:val="-1"/>
        </w:rPr>
        <w:t> </w:t>
      </w:r>
      <w:r>
        <w:rPr>
          <w:color w:val="4C4D4F"/>
        </w:rPr>
        <w:t>01</w:t>
      </w:r>
      <w:r>
        <w:rPr>
          <w:color w:val="4C4D4F"/>
          <w:spacing w:val="-3"/>
        </w:rPr>
        <w:t> </w:t>
      </w:r>
      <w:r>
        <w:rPr>
          <w:color w:val="4C4D4F"/>
        </w:rPr>
        <w:t>2021].</w:t>
      </w:r>
    </w:p>
    <w:p>
      <w:pPr>
        <w:spacing w:line="288" w:lineRule="auto" w:before="171"/>
        <w:ind w:left="109" w:right="411" w:hanging="1"/>
        <w:jc w:val="left"/>
        <w:rPr>
          <w:sz w:val="22"/>
        </w:rPr>
      </w:pPr>
      <w:r>
        <w:rPr>
          <w:color w:val="4C4D4F"/>
          <w:sz w:val="22"/>
        </w:rPr>
        <w:t>Australian Council of Trade Unions, 2011. </w:t>
      </w:r>
      <w:r>
        <w:rPr>
          <w:i/>
          <w:color w:val="4C4D4F"/>
          <w:sz w:val="22"/>
        </w:rPr>
        <w:t>The future of work in Australia: dealing with insecurity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and risk, </w:t>
      </w:r>
      <w:r>
        <w:rPr>
          <w:color w:val="4C4D4F"/>
          <w:sz w:val="22"/>
        </w:rPr>
        <w:t>Melbourne: ACTU.</w:t>
      </w:r>
    </w:p>
    <w:p>
      <w:pPr>
        <w:spacing w:line="288" w:lineRule="auto" w:before="121"/>
        <w:ind w:left="109" w:right="520" w:firstLine="0"/>
        <w:jc w:val="left"/>
        <w:rPr>
          <w:sz w:val="22"/>
        </w:rPr>
      </w:pPr>
      <w:r>
        <w:rPr>
          <w:color w:val="4C4D4F"/>
          <w:sz w:val="22"/>
        </w:rPr>
        <w:t>Burton, J., 2009. </w:t>
      </w:r>
      <w:r>
        <w:rPr>
          <w:i/>
          <w:color w:val="4C4D4F"/>
          <w:sz w:val="22"/>
        </w:rPr>
        <w:t>WHO Healthy Workplace Framework and Model: Background and Supporting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Literature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Practice,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Geneva: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World Health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Organization.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spacing w:line="288" w:lineRule="auto" w:before="0"/>
        <w:ind w:left="109" w:right="265" w:hanging="1"/>
        <w:jc w:val="left"/>
        <w:rPr>
          <w:sz w:val="22"/>
        </w:rPr>
      </w:pPr>
      <w:r>
        <w:rPr>
          <w:color w:val="4C4D4F"/>
          <w:sz w:val="22"/>
        </w:rPr>
        <w:t>Department of Social Services, 2020. </w:t>
      </w:r>
      <w:r>
        <w:rPr>
          <w:i/>
          <w:color w:val="4C4D4F"/>
          <w:sz w:val="22"/>
        </w:rPr>
        <w:t>City of Port Phillip: JobSeeker, </w:t>
      </w:r>
      <w:r>
        <w:rPr>
          <w:color w:val="4C4D4F"/>
          <w:sz w:val="22"/>
        </w:rPr>
        <w:t>s.l.: DSS, monthly profile via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data.gov.au,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compiled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presented by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informed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decisions.</w:t>
      </w:r>
    </w:p>
    <w:p>
      <w:pPr>
        <w:pStyle w:val="BodyText"/>
        <w:spacing w:before="119"/>
        <w:ind w:left="109" w:firstLine="0"/>
      </w:pPr>
      <w:r>
        <w:rPr>
          <w:color w:val="4C4D4F"/>
        </w:rPr>
        <w:t>Mathers,</w:t>
      </w:r>
      <w:r>
        <w:rPr>
          <w:color w:val="4C4D4F"/>
          <w:spacing w:val="-3"/>
        </w:rPr>
        <w:t> </w:t>
      </w:r>
      <w:r>
        <w:rPr>
          <w:color w:val="4C4D4F"/>
        </w:rPr>
        <w:t>C.</w:t>
      </w:r>
      <w:r>
        <w:rPr>
          <w:color w:val="4C4D4F"/>
          <w:spacing w:val="-2"/>
        </w:rPr>
        <w:t> </w:t>
      </w:r>
      <w:r>
        <w:rPr>
          <w:color w:val="4C4D4F"/>
        </w:rPr>
        <w:t>D.</w:t>
      </w:r>
      <w:r>
        <w:rPr>
          <w:color w:val="4C4D4F"/>
          <w:spacing w:val="-2"/>
        </w:rPr>
        <w:t> </w:t>
      </w:r>
      <w:r>
        <w:rPr>
          <w:color w:val="4C4D4F"/>
        </w:rPr>
        <w:t>&amp;</w:t>
      </w:r>
      <w:r>
        <w:rPr>
          <w:color w:val="4C4D4F"/>
          <w:spacing w:val="-2"/>
        </w:rPr>
        <w:t> </w:t>
      </w:r>
      <w:r>
        <w:rPr>
          <w:color w:val="4C4D4F"/>
        </w:rPr>
        <w:t>Schofield, D.</w:t>
      </w:r>
      <w:r>
        <w:rPr>
          <w:color w:val="4C4D4F"/>
          <w:spacing w:val="-2"/>
        </w:rPr>
        <w:t> </w:t>
      </w:r>
      <w:r>
        <w:rPr>
          <w:color w:val="4C4D4F"/>
        </w:rPr>
        <w:t>J., 1998. The</w:t>
      </w:r>
      <w:r>
        <w:rPr>
          <w:color w:val="4C4D4F"/>
          <w:spacing w:val="-4"/>
        </w:rPr>
        <w:t> </w:t>
      </w:r>
      <w:r>
        <w:rPr>
          <w:color w:val="4C4D4F"/>
        </w:rPr>
        <w:t>health</w:t>
      </w:r>
      <w:r>
        <w:rPr>
          <w:color w:val="4C4D4F"/>
          <w:spacing w:val="-2"/>
        </w:rPr>
        <w:t> </w:t>
      </w:r>
      <w:r>
        <w:rPr>
          <w:color w:val="4C4D4F"/>
        </w:rPr>
        <w:t>consequences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unemployment: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evidence.</w:t>
      </w:r>
    </w:p>
    <w:p>
      <w:pPr>
        <w:spacing w:before="49"/>
        <w:ind w:left="109" w:right="0" w:firstLine="0"/>
        <w:jc w:val="left"/>
        <w:rPr>
          <w:sz w:val="22"/>
        </w:rPr>
      </w:pPr>
      <w:r>
        <w:rPr>
          <w:i/>
          <w:color w:val="4C4D4F"/>
          <w:sz w:val="22"/>
        </w:rPr>
        <w:t>Medical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Journal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Australia,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168(14), pp.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178-82.</w:t>
      </w:r>
    </w:p>
    <w:p>
      <w:pPr>
        <w:spacing w:line="288" w:lineRule="auto" w:before="175"/>
        <w:ind w:left="109" w:right="949" w:firstLine="0"/>
        <w:jc w:val="both"/>
        <w:rPr>
          <w:sz w:val="22"/>
        </w:rPr>
      </w:pPr>
      <w:r>
        <w:rPr>
          <w:color w:val="4C4D4F"/>
          <w:sz w:val="22"/>
        </w:rPr>
        <w:t>National Institute of Economic and Industry Research, 2020. </w:t>
      </w:r>
      <w:r>
        <w:rPr>
          <w:i/>
          <w:color w:val="4C4D4F"/>
          <w:sz w:val="22"/>
        </w:rPr>
        <w:t>City of Port Phillip: COVID-19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Economic Outlook Tool, </w:t>
      </w:r>
      <w:r>
        <w:rPr>
          <w:color w:val="4C4D4F"/>
          <w:sz w:val="22"/>
        </w:rPr>
        <w:t>s.l.: NIEIR, compiled and presented in economy.id by .id informed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decisions.</w:t>
      </w:r>
    </w:p>
    <w:p>
      <w:pPr>
        <w:spacing w:before="119"/>
        <w:ind w:left="109" w:right="0" w:firstLine="0"/>
        <w:jc w:val="both"/>
        <w:rPr>
          <w:sz w:val="22"/>
        </w:rPr>
      </w:pPr>
      <w:r>
        <w:rPr>
          <w:color w:val="4C4D4F"/>
          <w:sz w:val="22"/>
        </w:rPr>
        <w:t>VicHealth,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Coronavirus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Wellbeing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Impact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Study,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s.l.: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s.n.</w:t>
      </w:r>
    </w:p>
    <w:p>
      <w:pPr>
        <w:spacing w:line="288" w:lineRule="auto" w:before="169"/>
        <w:ind w:left="109" w:right="240" w:firstLine="0"/>
        <w:jc w:val="left"/>
        <w:rPr>
          <w:sz w:val="22"/>
        </w:rPr>
      </w:pPr>
      <w:r>
        <w:rPr>
          <w:color w:val="4C4D4F"/>
          <w:sz w:val="22"/>
        </w:rPr>
        <w:t>World Health Organization, 2010. </w:t>
      </w:r>
      <w:r>
        <w:rPr>
          <w:i/>
          <w:color w:val="4C4D4F"/>
          <w:sz w:val="22"/>
        </w:rPr>
        <w:t>Healthy workplaces: a model for action: for employers, workers,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policymakers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 practitioners.,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Geneva: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WHO.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303.25pt;height:14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Income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and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Employment -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o"/>
      <w:lvlJc w:val="left"/>
      <w:pPr>
        <w:ind w:left="1550" w:hanging="361"/>
      </w:pPr>
      <w:rPr>
        <w:rFonts w:hint="default" w:ascii="Courier New" w:hAnsi="Courier New" w:eastAsia="Courier New" w:cs="Courier New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8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144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hyperlink" Target="http://www.abs.gov.au/statistics/labour/employment-and-unemployment/labour-force-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2021-02-16T06:19:07Z</dcterms:created>
  <dcterms:modified xsi:type="dcterms:W3CDTF">2021-02-16T06:19:07Z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