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EC45" w14:textId="77777777" w:rsidR="00A04BD8" w:rsidRDefault="00A04BD8" w:rsidP="00F65833">
      <w:pPr>
        <w:pStyle w:val="TITLE1"/>
        <w:rPr>
          <w:sz w:val="56"/>
          <w:szCs w:val="56"/>
        </w:rPr>
      </w:pPr>
    </w:p>
    <w:p w14:paraId="1A902655" w14:textId="77777777" w:rsidR="00A04BD8" w:rsidRDefault="00A04BD8" w:rsidP="00F65833">
      <w:pPr>
        <w:pStyle w:val="TITLE1"/>
        <w:rPr>
          <w:sz w:val="56"/>
          <w:szCs w:val="56"/>
        </w:rPr>
      </w:pPr>
    </w:p>
    <w:p w14:paraId="7B20D0BB" w14:textId="5E54799C" w:rsidR="00CE5D54" w:rsidRPr="008B25A7" w:rsidRDefault="003856B7" w:rsidP="008B25A7">
      <w:pPr>
        <w:pStyle w:val="TITLE1"/>
        <w:jc w:val="center"/>
        <w:rPr>
          <w:sz w:val="56"/>
          <w:szCs w:val="56"/>
        </w:rPr>
      </w:pPr>
      <w:r>
        <w:rPr>
          <w:sz w:val="56"/>
          <w:szCs w:val="56"/>
        </w:rPr>
        <w:t xml:space="preserve">Draft </w:t>
      </w:r>
      <w:r w:rsidR="00B14F9B" w:rsidRPr="008B25A7">
        <w:rPr>
          <w:b w:val="0"/>
          <w:sz w:val="56"/>
          <w:szCs w:val="56"/>
        </w:rPr>
        <w:t>Rating Strategy</w:t>
      </w:r>
      <w:r w:rsidR="00A04BD8">
        <w:rPr>
          <w:sz w:val="56"/>
          <w:szCs w:val="56"/>
        </w:rPr>
        <w:t xml:space="preserve"> </w:t>
      </w:r>
      <w:r w:rsidR="00F65833" w:rsidRPr="008B25A7">
        <w:rPr>
          <w:sz w:val="56"/>
          <w:szCs w:val="56"/>
        </w:rPr>
        <w:t>202</w:t>
      </w:r>
      <w:r w:rsidR="00EC4A5A" w:rsidRPr="008B25A7">
        <w:rPr>
          <w:sz w:val="56"/>
          <w:szCs w:val="56"/>
        </w:rPr>
        <w:t>2</w:t>
      </w:r>
      <w:r w:rsidR="003166FB">
        <w:rPr>
          <w:sz w:val="56"/>
          <w:szCs w:val="56"/>
        </w:rPr>
        <w:t>-25</w:t>
      </w:r>
    </w:p>
    <w:p w14:paraId="5433F917" w14:textId="1512B85C"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sz w:val="22"/>
          <w:szCs w:val="22"/>
        </w:rPr>
        <w:id w:val="1929302081"/>
        <w:docPartObj>
          <w:docPartGallery w:val="Table of Contents"/>
          <w:docPartUnique/>
        </w:docPartObj>
      </w:sdtPr>
      <w:sdtEndPr>
        <w:rPr>
          <w:b w:val="0"/>
          <w:bCs/>
        </w:rPr>
      </w:sdtEndPr>
      <w:sdtContent>
        <w:p w14:paraId="369567B9" w14:textId="4E114B22" w:rsidR="00104AEA" w:rsidRPr="008B25A7" w:rsidRDefault="00B14F9B" w:rsidP="00F4162A">
          <w:pPr>
            <w:pStyle w:val="body1"/>
            <w:ind w:left="0"/>
            <w:jc w:val="center"/>
            <w:rPr>
              <w:rFonts w:eastAsiaTheme="majorEastAsia"/>
              <w:sz w:val="40"/>
              <w:szCs w:val="40"/>
            </w:rPr>
          </w:pPr>
          <w:r w:rsidRPr="008B25A7">
            <w:rPr>
              <w:rFonts w:eastAsiaTheme="majorEastAsia"/>
              <w:b/>
              <w:color w:val="0090A3"/>
              <w:sz w:val="32"/>
              <w:szCs w:val="32"/>
            </w:rPr>
            <w:t>Table of C</w:t>
          </w:r>
          <w:r w:rsidR="00104AEA" w:rsidRPr="008B25A7">
            <w:rPr>
              <w:rFonts w:eastAsiaTheme="majorEastAsia"/>
              <w:b/>
              <w:color w:val="0090A3"/>
              <w:sz w:val="32"/>
              <w:szCs w:val="32"/>
            </w:rPr>
            <w:t>ontents</w:t>
          </w:r>
        </w:p>
        <w:p w14:paraId="746BEE37" w14:textId="60AF6A01" w:rsidR="00DF42CE" w:rsidRDefault="00471135">
          <w:pPr>
            <w:pStyle w:val="TOC1"/>
            <w:rPr>
              <w:rFonts w:asciiTheme="minorHAnsi" w:eastAsiaTheme="minorEastAsia" w:hAnsiTheme="minorHAnsi" w:cstheme="minorBidi"/>
              <w:b w:val="0"/>
              <w:color w:val="auto"/>
            </w:rPr>
          </w:pPr>
          <w:r>
            <w:rPr>
              <w:b w:val="0"/>
            </w:rPr>
            <w:fldChar w:fldCharType="begin"/>
          </w:r>
          <w:r>
            <w:rPr>
              <w:b w:val="0"/>
            </w:rPr>
            <w:instrText xml:space="preserve"> TOC \o "1-3" \h \z \u </w:instrText>
          </w:r>
          <w:r>
            <w:rPr>
              <w:b w:val="0"/>
            </w:rPr>
            <w:fldChar w:fldCharType="separate"/>
          </w:r>
          <w:hyperlink w:anchor="_Toc101366766" w:history="1">
            <w:r w:rsidR="00DF42CE" w:rsidRPr="00B02C49">
              <w:rPr>
                <w:rStyle w:val="Hyperlink"/>
              </w:rPr>
              <w:t>1.</w:t>
            </w:r>
            <w:r w:rsidR="00DF42CE">
              <w:rPr>
                <w:rFonts w:asciiTheme="minorHAnsi" w:eastAsiaTheme="minorEastAsia" w:hAnsiTheme="minorHAnsi" w:cstheme="minorBidi"/>
                <w:b w:val="0"/>
                <w:color w:val="auto"/>
              </w:rPr>
              <w:tab/>
            </w:r>
            <w:r w:rsidR="00DF42CE" w:rsidRPr="00B02C49">
              <w:rPr>
                <w:rStyle w:val="Hyperlink"/>
              </w:rPr>
              <w:t>Purpose</w:t>
            </w:r>
            <w:r w:rsidR="00DF42CE">
              <w:rPr>
                <w:webHidden/>
              </w:rPr>
              <w:tab/>
            </w:r>
            <w:r w:rsidR="00DF42CE">
              <w:rPr>
                <w:webHidden/>
              </w:rPr>
              <w:fldChar w:fldCharType="begin"/>
            </w:r>
            <w:r w:rsidR="00DF42CE">
              <w:rPr>
                <w:webHidden/>
              </w:rPr>
              <w:instrText xml:space="preserve"> PAGEREF _Toc101366766 \h </w:instrText>
            </w:r>
            <w:r w:rsidR="00DF42CE">
              <w:rPr>
                <w:webHidden/>
              </w:rPr>
            </w:r>
            <w:r w:rsidR="00DF42CE">
              <w:rPr>
                <w:webHidden/>
              </w:rPr>
              <w:fldChar w:fldCharType="separate"/>
            </w:r>
            <w:r w:rsidR="00DF42CE">
              <w:rPr>
                <w:webHidden/>
              </w:rPr>
              <w:t>2</w:t>
            </w:r>
            <w:r w:rsidR="00DF42CE">
              <w:rPr>
                <w:webHidden/>
              </w:rPr>
              <w:fldChar w:fldCharType="end"/>
            </w:r>
          </w:hyperlink>
        </w:p>
        <w:p w14:paraId="6B9EA040" w14:textId="1374F376" w:rsidR="00DF42CE" w:rsidRDefault="00DF42CE">
          <w:pPr>
            <w:pStyle w:val="TOC1"/>
            <w:rPr>
              <w:rFonts w:asciiTheme="minorHAnsi" w:eastAsiaTheme="minorEastAsia" w:hAnsiTheme="minorHAnsi" w:cstheme="minorBidi"/>
              <w:b w:val="0"/>
              <w:color w:val="auto"/>
            </w:rPr>
          </w:pPr>
          <w:hyperlink w:anchor="_Toc101366767" w:history="1">
            <w:r w:rsidRPr="00B02C49">
              <w:rPr>
                <w:rStyle w:val="Hyperlink"/>
              </w:rPr>
              <w:t>2.</w:t>
            </w:r>
            <w:r>
              <w:rPr>
                <w:rFonts w:asciiTheme="minorHAnsi" w:eastAsiaTheme="minorEastAsia" w:hAnsiTheme="minorHAnsi" w:cstheme="minorBidi"/>
                <w:b w:val="0"/>
                <w:color w:val="auto"/>
              </w:rPr>
              <w:tab/>
            </w:r>
            <w:r w:rsidRPr="00B02C49">
              <w:rPr>
                <w:rStyle w:val="Hyperlink"/>
              </w:rPr>
              <w:t>Context</w:t>
            </w:r>
            <w:r>
              <w:rPr>
                <w:webHidden/>
              </w:rPr>
              <w:tab/>
            </w:r>
            <w:r>
              <w:rPr>
                <w:webHidden/>
              </w:rPr>
              <w:fldChar w:fldCharType="begin"/>
            </w:r>
            <w:r>
              <w:rPr>
                <w:webHidden/>
              </w:rPr>
              <w:instrText xml:space="preserve"> PAGEREF _Toc101366767 \h </w:instrText>
            </w:r>
            <w:r>
              <w:rPr>
                <w:webHidden/>
              </w:rPr>
            </w:r>
            <w:r>
              <w:rPr>
                <w:webHidden/>
              </w:rPr>
              <w:fldChar w:fldCharType="separate"/>
            </w:r>
            <w:r>
              <w:rPr>
                <w:webHidden/>
              </w:rPr>
              <w:t>3</w:t>
            </w:r>
            <w:r>
              <w:rPr>
                <w:webHidden/>
              </w:rPr>
              <w:fldChar w:fldCharType="end"/>
            </w:r>
          </w:hyperlink>
        </w:p>
        <w:p w14:paraId="3F76A339" w14:textId="29E99A11" w:rsidR="00DF42CE" w:rsidRDefault="00DF42CE">
          <w:pPr>
            <w:pStyle w:val="TOC2"/>
            <w:rPr>
              <w:rFonts w:asciiTheme="minorHAnsi" w:eastAsiaTheme="minorEastAsia" w:hAnsiTheme="minorHAnsi" w:cstheme="minorBidi"/>
              <w:color w:val="auto"/>
            </w:rPr>
          </w:pPr>
          <w:hyperlink w:anchor="_Toc101366769" w:history="1">
            <w:r w:rsidRPr="00B02C49">
              <w:rPr>
                <w:rStyle w:val="Hyperlink"/>
              </w:rPr>
              <w:t>2.3</w:t>
            </w:r>
            <w:r>
              <w:rPr>
                <w:rFonts w:asciiTheme="minorHAnsi" w:eastAsiaTheme="minorEastAsia" w:hAnsiTheme="minorHAnsi" w:cstheme="minorBidi"/>
                <w:color w:val="auto"/>
              </w:rPr>
              <w:tab/>
            </w:r>
            <w:r w:rsidRPr="00B02C49">
              <w:rPr>
                <w:rStyle w:val="Hyperlink"/>
              </w:rPr>
              <w:t>Legislative context</w:t>
            </w:r>
            <w:r>
              <w:rPr>
                <w:webHidden/>
              </w:rPr>
              <w:tab/>
            </w:r>
            <w:r>
              <w:rPr>
                <w:webHidden/>
              </w:rPr>
              <w:fldChar w:fldCharType="begin"/>
            </w:r>
            <w:r>
              <w:rPr>
                <w:webHidden/>
              </w:rPr>
              <w:instrText xml:space="preserve"> PAGEREF _Toc101366769 \h </w:instrText>
            </w:r>
            <w:r>
              <w:rPr>
                <w:webHidden/>
              </w:rPr>
            </w:r>
            <w:r>
              <w:rPr>
                <w:webHidden/>
              </w:rPr>
              <w:fldChar w:fldCharType="separate"/>
            </w:r>
            <w:r>
              <w:rPr>
                <w:webHidden/>
              </w:rPr>
              <w:t>3</w:t>
            </w:r>
            <w:r>
              <w:rPr>
                <w:webHidden/>
              </w:rPr>
              <w:fldChar w:fldCharType="end"/>
            </w:r>
          </w:hyperlink>
        </w:p>
        <w:p w14:paraId="456091CE" w14:textId="43C76AFC" w:rsidR="00DF42CE" w:rsidRDefault="00DF42CE">
          <w:pPr>
            <w:pStyle w:val="TOC2"/>
            <w:rPr>
              <w:rFonts w:asciiTheme="minorHAnsi" w:eastAsiaTheme="minorEastAsia" w:hAnsiTheme="minorHAnsi" w:cstheme="minorBidi"/>
              <w:color w:val="auto"/>
            </w:rPr>
          </w:pPr>
          <w:hyperlink w:anchor="_Toc101366770" w:history="1">
            <w:r w:rsidRPr="00B02C49">
              <w:rPr>
                <w:rStyle w:val="Hyperlink"/>
              </w:rPr>
              <w:t>2.1</w:t>
            </w:r>
            <w:r>
              <w:rPr>
                <w:rFonts w:asciiTheme="minorHAnsi" w:eastAsiaTheme="minorEastAsia" w:hAnsiTheme="minorHAnsi" w:cstheme="minorBidi"/>
                <w:color w:val="auto"/>
              </w:rPr>
              <w:tab/>
            </w:r>
            <w:r w:rsidRPr="00B02C49">
              <w:rPr>
                <w:rStyle w:val="Hyperlink"/>
              </w:rPr>
              <w:t>What are rates and who pays them?</w:t>
            </w:r>
            <w:r>
              <w:rPr>
                <w:webHidden/>
              </w:rPr>
              <w:tab/>
            </w:r>
            <w:r>
              <w:rPr>
                <w:webHidden/>
              </w:rPr>
              <w:fldChar w:fldCharType="begin"/>
            </w:r>
            <w:r>
              <w:rPr>
                <w:webHidden/>
              </w:rPr>
              <w:instrText xml:space="preserve"> PAGEREF _Toc101366770 \h </w:instrText>
            </w:r>
            <w:r>
              <w:rPr>
                <w:webHidden/>
              </w:rPr>
            </w:r>
            <w:r>
              <w:rPr>
                <w:webHidden/>
              </w:rPr>
              <w:fldChar w:fldCharType="separate"/>
            </w:r>
            <w:r>
              <w:rPr>
                <w:webHidden/>
              </w:rPr>
              <w:t>3</w:t>
            </w:r>
            <w:r>
              <w:rPr>
                <w:webHidden/>
              </w:rPr>
              <w:fldChar w:fldCharType="end"/>
            </w:r>
          </w:hyperlink>
        </w:p>
        <w:p w14:paraId="24C66C58" w14:textId="4927115D" w:rsidR="00DF42CE" w:rsidRDefault="00DF42CE">
          <w:pPr>
            <w:pStyle w:val="TOC2"/>
            <w:rPr>
              <w:rFonts w:asciiTheme="minorHAnsi" w:eastAsiaTheme="minorEastAsia" w:hAnsiTheme="minorHAnsi" w:cstheme="minorBidi"/>
              <w:color w:val="auto"/>
            </w:rPr>
          </w:pPr>
          <w:hyperlink w:anchor="_Toc101366792" w:history="1">
            <w:r w:rsidRPr="00B02C49">
              <w:rPr>
                <w:rStyle w:val="Hyperlink"/>
              </w:rPr>
              <w:t>2.2</w:t>
            </w:r>
            <w:r>
              <w:rPr>
                <w:rFonts w:asciiTheme="minorHAnsi" w:eastAsiaTheme="minorEastAsia" w:hAnsiTheme="minorHAnsi" w:cstheme="minorBidi"/>
                <w:color w:val="auto"/>
              </w:rPr>
              <w:tab/>
            </w:r>
            <w:r w:rsidRPr="00B02C49">
              <w:rPr>
                <w:rStyle w:val="Hyperlink"/>
              </w:rPr>
              <w:t>Calculation of rates</w:t>
            </w:r>
            <w:r>
              <w:rPr>
                <w:webHidden/>
              </w:rPr>
              <w:tab/>
            </w:r>
            <w:r>
              <w:rPr>
                <w:webHidden/>
              </w:rPr>
              <w:fldChar w:fldCharType="begin"/>
            </w:r>
            <w:r>
              <w:rPr>
                <w:webHidden/>
              </w:rPr>
              <w:instrText xml:space="preserve"> PAGEREF _Toc101366792 \h </w:instrText>
            </w:r>
            <w:r>
              <w:rPr>
                <w:webHidden/>
              </w:rPr>
            </w:r>
            <w:r>
              <w:rPr>
                <w:webHidden/>
              </w:rPr>
              <w:fldChar w:fldCharType="separate"/>
            </w:r>
            <w:r>
              <w:rPr>
                <w:webHidden/>
              </w:rPr>
              <w:t>4</w:t>
            </w:r>
            <w:r>
              <w:rPr>
                <w:webHidden/>
              </w:rPr>
              <w:fldChar w:fldCharType="end"/>
            </w:r>
          </w:hyperlink>
        </w:p>
        <w:p w14:paraId="6B374402" w14:textId="158C960F" w:rsidR="00DF42CE" w:rsidRDefault="00DF42CE">
          <w:pPr>
            <w:pStyle w:val="TOC2"/>
            <w:rPr>
              <w:rFonts w:asciiTheme="minorHAnsi" w:eastAsiaTheme="minorEastAsia" w:hAnsiTheme="minorHAnsi" w:cstheme="minorBidi"/>
              <w:color w:val="auto"/>
            </w:rPr>
          </w:pPr>
          <w:hyperlink w:anchor="_Toc101366836" w:history="1">
            <w:r w:rsidRPr="00B02C49">
              <w:rPr>
                <w:rStyle w:val="Hyperlink"/>
              </w:rPr>
              <w:t>2.3</w:t>
            </w:r>
            <w:r>
              <w:rPr>
                <w:rFonts w:asciiTheme="minorHAnsi" w:eastAsiaTheme="minorEastAsia" w:hAnsiTheme="minorHAnsi" w:cstheme="minorBidi"/>
                <w:color w:val="auto"/>
              </w:rPr>
              <w:tab/>
            </w:r>
            <w:r w:rsidRPr="00B02C49">
              <w:rPr>
                <w:rStyle w:val="Hyperlink"/>
              </w:rPr>
              <w:t>Rate Capping</w:t>
            </w:r>
            <w:r>
              <w:rPr>
                <w:webHidden/>
              </w:rPr>
              <w:tab/>
            </w:r>
            <w:r>
              <w:rPr>
                <w:webHidden/>
              </w:rPr>
              <w:fldChar w:fldCharType="begin"/>
            </w:r>
            <w:r>
              <w:rPr>
                <w:webHidden/>
              </w:rPr>
              <w:instrText xml:space="preserve"> PAGEREF _Toc101366836 \h </w:instrText>
            </w:r>
            <w:r>
              <w:rPr>
                <w:webHidden/>
              </w:rPr>
            </w:r>
            <w:r>
              <w:rPr>
                <w:webHidden/>
              </w:rPr>
              <w:fldChar w:fldCharType="separate"/>
            </w:r>
            <w:r>
              <w:rPr>
                <w:webHidden/>
              </w:rPr>
              <w:t>5</w:t>
            </w:r>
            <w:r>
              <w:rPr>
                <w:webHidden/>
              </w:rPr>
              <w:fldChar w:fldCharType="end"/>
            </w:r>
          </w:hyperlink>
        </w:p>
        <w:p w14:paraId="4238EAFA" w14:textId="36F07E74" w:rsidR="00DF42CE" w:rsidRDefault="00DF42CE">
          <w:pPr>
            <w:pStyle w:val="TOC2"/>
            <w:rPr>
              <w:rFonts w:asciiTheme="minorHAnsi" w:eastAsiaTheme="minorEastAsia" w:hAnsiTheme="minorHAnsi" w:cstheme="minorBidi"/>
              <w:color w:val="auto"/>
            </w:rPr>
          </w:pPr>
          <w:hyperlink w:anchor="_Toc101366837" w:history="1">
            <w:r w:rsidRPr="00B02C49">
              <w:rPr>
                <w:rStyle w:val="Hyperlink"/>
              </w:rPr>
              <w:t>2.4</w:t>
            </w:r>
            <w:r>
              <w:rPr>
                <w:rFonts w:asciiTheme="minorHAnsi" w:eastAsiaTheme="minorEastAsia" w:hAnsiTheme="minorHAnsi" w:cstheme="minorBidi"/>
                <w:color w:val="auto"/>
              </w:rPr>
              <w:tab/>
            </w:r>
            <w:r w:rsidRPr="00B02C49">
              <w:rPr>
                <w:rStyle w:val="Hyperlink"/>
              </w:rPr>
              <w:t>Financial Strategy</w:t>
            </w:r>
            <w:r>
              <w:rPr>
                <w:webHidden/>
              </w:rPr>
              <w:tab/>
            </w:r>
            <w:r>
              <w:rPr>
                <w:webHidden/>
              </w:rPr>
              <w:fldChar w:fldCharType="begin"/>
            </w:r>
            <w:r>
              <w:rPr>
                <w:webHidden/>
              </w:rPr>
              <w:instrText xml:space="preserve"> PAGEREF _Toc101366837 \h </w:instrText>
            </w:r>
            <w:r>
              <w:rPr>
                <w:webHidden/>
              </w:rPr>
            </w:r>
            <w:r>
              <w:rPr>
                <w:webHidden/>
              </w:rPr>
              <w:fldChar w:fldCharType="separate"/>
            </w:r>
            <w:r>
              <w:rPr>
                <w:webHidden/>
              </w:rPr>
              <w:t>6</w:t>
            </w:r>
            <w:r>
              <w:rPr>
                <w:webHidden/>
              </w:rPr>
              <w:fldChar w:fldCharType="end"/>
            </w:r>
          </w:hyperlink>
        </w:p>
        <w:p w14:paraId="1C9B422D" w14:textId="6E78F459" w:rsidR="00DF42CE" w:rsidRDefault="00DF42CE">
          <w:pPr>
            <w:pStyle w:val="TOC1"/>
            <w:rPr>
              <w:rFonts w:asciiTheme="minorHAnsi" w:eastAsiaTheme="minorEastAsia" w:hAnsiTheme="minorHAnsi" w:cstheme="minorBidi"/>
              <w:b w:val="0"/>
              <w:color w:val="auto"/>
            </w:rPr>
          </w:pPr>
          <w:hyperlink w:anchor="_Toc101366838" w:history="1">
            <w:r w:rsidRPr="00B02C49">
              <w:rPr>
                <w:rStyle w:val="Hyperlink"/>
              </w:rPr>
              <w:t>3.</w:t>
            </w:r>
            <w:r>
              <w:rPr>
                <w:rFonts w:asciiTheme="minorHAnsi" w:eastAsiaTheme="minorEastAsia" w:hAnsiTheme="minorHAnsi" w:cstheme="minorBidi"/>
                <w:b w:val="0"/>
                <w:color w:val="auto"/>
              </w:rPr>
              <w:tab/>
            </w:r>
            <w:r w:rsidRPr="00B02C49">
              <w:rPr>
                <w:rStyle w:val="Hyperlink"/>
              </w:rPr>
              <w:t>Rating Objectives</w:t>
            </w:r>
            <w:r>
              <w:rPr>
                <w:webHidden/>
              </w:rPr>
              <w:tab/>
            </w:r>
            <w:r>
              <w:rPr>
                <w:webHidden/>
              </w:rPr>
              <w:fldChar w:fldCharType="begin"/>
            </w:r>
            <w:r>
              <w:rPr>
                <w:webHidden/>
              </w:rPr>
              <w:instrText xml:space="preserve"> PAGEREF _Toc101366838 \h </w:instrText>
            </w:r>
            <w:r>
              <w:rPr>
                <w:webHidden/>
              </w:rPr>
            </w:r>
            <w:r>
              <w:rPr>
                <w:webHidden/>
              </w:rPr>
              <w:fldChar w:fldCharType="separate"/>
            </w:r>
            <w:r>
              <w:rPr>
                <w:webHidden/>
              </w:rPr>
              <w:t>7</w:t>
            </w:r>
            <w:r>
              <w:rPr>
                <w:webHidden/>
              </w:rPr>
              <w:fldChar w:fldCharType="end"/>
            </w:r>
          </w:hyperlink>
        </w:p>
        <w:p w14:paraId="0B468B86" w14:textId="5DFE9387" w:rsidR="00DF42CE" w:rsidRDefault="00DF42CE">
          <w:pPr>
            <w:pStyle w:val="TOC2"/>
            <w:rPr>
              <w:rFonts w:asciiTheme="minorHAnsi" w:eastAsiaTheme="minorEastAsia" w:hAnsiTheme="minorHAnsi" w:cstheme="minorBidi"/>
              <w:color w:val="auto"/>
            </w:rPr>
          </w:pPr>
          <w:hyperlink w:anchor="_Toc101366839" w:history="1">
            <w:r w:rsidRPr="00B02C49">
              <w:rPr>
                <w:rStyle w:val="Hyperlink"/>
              </w:rPr>
              <w:t>3.1</w:t>
            </w:r>
            <w:r>
              <w:rPr>
                <w:rFonts w:asciiTheme="minorHAnsi" w:eastAsiaTheme="minorEastAsia" w:hAnsiTheme="minorHAnsi" w:cstheme="minorBidi"/>
                <w:color w:val="auto"/>
              </w:rPr>
              <w:tab/>
            </w:r>
            <w:r w:rsidRPr="00B02C49">
              <w:rPr>
                <w:rStyle w:val="Hyperlink"/>
              </w:rPr>
              <w:t>Equitable rating outcomes</w:t>
            </w:r>
            <w:r>
              <w:rPr>
                <w:webHidden/>
              </w:rPr>
              <w:tab/>
            </w:r>
            <w:r>
              <w:rPr>
                <w:webHidden/>
              </w:rPr>
              <w:fldChar w:fldCharType="begin"/>
            </w:r>
            <w:r>
              <w:rPr>
                <w:webHidden/>
              </w:rPr>
              <w:instrText xml:space="preserve"> PAGEREF _Toc101366839 \h </w:instrText>
            </w:r>
            <w:r>
              <w:rPr>
                <w:webHidden/>
              </w:rPr>
            </w:r>
            <w:r>
              <w:rPr>
                <w:webHidden/>
              </w:rPr>
              <w:fldChar w:fldCharType="separate"/>
            </w:r>
            <w:r>
              <w:rPr>
                <w:webHidden/>
              </w:rPr>
              <w:t>7</w:t>
            </w:r>
            <w:r>
              <w:rPr>
                <w:webHidden/>
              </w:rPr>
              <w:fldChar w:fldCharType="end"/>
            </w:r>
          </w:hyperlink>
        </w:p>
        <w:p w14:paraId="2C63389F" w14:textId="6767A9FB" w:rsidR="00DF42CE" w:rsidRDefault="00DF42CE">
          <w:pPr>
            <w:pStyle w:val="TOC2"/>
            <w:rPr>
              <w:rFonts w:asciiTheme="minorHAnsi" w:eastAsiaTheme="minorEastAsia" w:hAnsiTheme="minorHAnsi" w:cstheme="minorBidi"/>
              <w:color w:val="auto"/>
            </w:rPr>
          </w:pPr>
          <w:hyperlink w:anchor="_Toc101366840" w:history="1">
            <w:r w:rsidRPr="00B02C49">
              <w:rPr>
                <w:rStyle w:val="Hyperlink"/>
              </w:rPr>
              <w:t>3.2</w:t>
            </w:r>
            <w:r>
              <w:rPr>
                <w:rFonts w:asciiTheme="minorHAnsi" w:eastAsiaTheme="minorEastAsia" w:hAnsiTheme="minorHAnsi" w:cstheme="minorBidi"/>
                <w:color w:val="auto"/>
              </w:rPr>
              <w:tab/>
            </w:r>
            <w:r w:rsidRPr="00B02C49">
              <w:rPr>
                <w:rStyle w:val="Hyperlink"/>
              </w:rPr>
              <w:t>Efficient rating outcomes</w:t>
            </w:r>
            <w:r>
              <w:rPr>
                <w:webHidden/>
              </w:rPr>
              <w:tab/>
            </w:r>
            <w:r>
              <w:rPr>
                <w:webHidden/>
              </w:rPr>
              <w:fldChar w:fldCharType="begin"/>
            </w:r>
            <w:r>
              <w:rPr>
                <w:webHidden/>
              </w:rPr>
              <w:instrText xml:space="preserve"> PAGEREF _Toc101366840 \h </w:instrText>
            </w:r>
            <w:r>
              <w:rPr>
                <w:webHidden/>
              </w:rPr>
            </w:r>
            <w:r>
              <w:rPr>
                <w:webHidden/>
              </w:rPr>
              <w:fldChar w:fldCharType="separate"/>
            </w:r>
            <w:r>
              <w:rPr>
                <w:webHidden/>
              </w:rPr>
              <w:t>7</w:t>
            </w:r>
            <w:r>
              <w:rPr>
                <w:webHidden/>
              </w:rPr>
              <w:fldChar w:fldCharType="end"/>
            </w:r>
          </w:hyperlink>
        </w:p>
        <w:p w14:paraId="757FF44A" w14:textId="1EEC671F" w:rsidR="00DF42CE" w:rsidRDefault="00DF42CE">
          <w:pPr>
            <w:pStyle w:val="TOC2"/>
            <w:rPr>
              <w:rFonts w:asciiTheme="minorHAnsi" w:eastAsiaTheme="minorEastAsia" w:hAnsiTheme="minorHAnsi" w:cstheme="minorBidi"/>
              <w:color w:val="auto"/>
            </w:rPr>
          </w:pPr>
          <w:hyperlink w:anchor="_Toc101366841" w:history="1">
            <w:r w:rsidRPr="00B02C49">
              <w:rPr>
                <w:rStyle w:val="Hyperlink"/>
              </w:rPr>
              <w:t>3.3</w:t>
            </w:r>
            <w:r>
              <w:rPr>
                <w:rFonts w:asciiTheme="minorHAnsi" w:eastAsiaTheme="minorEastAsia" w:hAnsiTheme="minorHAnsi" w:cstheme="minorBidi"/>
                <w:color w:val="auto"/>
              </w:rPr>
              <w:tab/>
            </w:r>
            <w:r w:rsidRPr="00B02C49">
              <w:rPr>
                <w:rStyle w:val="Hyperlink"/>
              </w:rPr>
              <w:t>Rating outcomes that are simple to understand</w:t>
            </w:r>
            <w:r>
              <w:rPr>
                <w:webHidden/>
              </w:rPr>
              <w:tab/>
            </w:r>
            <w:r>
              <w:rPr>
                <w:webHidden/>
              </w:rPr>
              <w:fldChar w:fldCharType="begin"/>
            </w:r>
            <w:r>
              <w:rPr>
                <w:webHidden/>
              </w:rPr>
              <w:instrText xml:space="preserve"> PAGEREF _Toc101366841 \h </w:instrText>
            </w:r>
            <w:r>
              <w:rPr>
                <w:webHidden/>
              </w:rPr>
            </w:r>
            <w:r>
              <w:rPr>
                <w:webHidden/>
              </w:rPr>
              <w:fldChar w:fldCharType="separate"/>
            </w:r>
            <w:r>
              <w:rPr>
                <w:webHidden/>
              </w:rPr>
              <w:t>7</w:t>
            </w:r>
            <w:r>
              <w:rPr>
                <w:webHidden/>
              </w:rPr>
              <w:fldChar w:fldCharType="end"/>
            </w:r>
          </w:hyperlink>
        </w:p>
        <w:p w14:paraId="48CBB47E" w14:textId="78676502" w:rsidR="00DF42CE" w:rsidRDefault="00DF42CE">
          <w:pPr>
            <w:pStyle w:val="TOC2"/>
            <w:rPr>
              <w:rFonts w:asciiTheme="minorHAnsi" w:eastAsiaTheme="minorEastAsia" w:hAnsiTheme="minorHAnsi" w:cstheme="minorBidi"/>
              <w:color w:val="auto"/>
            </w:rPr>
          </w:pPr>
          <w:hyperlink w:anchor="_Toc101366842" w:history="1">
            <w:r w:rsidRPr="00B02C49">
              <w:rPr>
                <w:rStyle w:val="Hyperlink"/>
              </w:rPr>
              <w:t>3.4</w:t>
            </w:r>
            <w:r>
              <w:rPr>
                <w:rFonts w:asciiTheme="minorHAnsi" w:eastAsiaTheme="minorEastAsia" w:hAnsiTheme="minorHAnsi" w:cstheme="minorBidi"/>
                <w:color w:val="auto"/>
              </w:rPr>
              <w:tab/>
            </w:r>
            <w:r w:rsidRPr="00B02C49">
              <w:rPr>
                <w:rStyle w:val="Hyperlink"/>
              </w:rPr>
              <w:t>Rating outcomes that manage the impact of change</w:t>
            </w:r>
            <w:r>
              <w:rPr>
                <w:webHidden/>
              </w:rPr>
              <w:tab/>
            </w:r>
            <w:r>
              <w:rPr>
                <w:webHidden/>
              </w:rPr>
              <w:fldChar w:fldCharType="begin"/>
            </w:r>
            <w:r>
              <w:rPr>
                <w:webHidden/>
              </w:rPr>
              <w:instrText xml:space="preserve"> PAGEREF _Toc101366842 \h </w:instrText>
            </w:r>
            <w:r>
              <w:rPr>
                <w:webHidden/>
              </w:rPr>
            </w:r>
            <w:r>
              <w:rPr>
                <w:webHidden/>
              </w:rPr>
              <w:fldChar w:fldCharType="separate"/>
            </w:r>
            <w:r>
              <w:rPr>
                <w:webHidden/>
              </w:rPr>
              <w:t>7</w:t>
            </w:r>
            <w:r>
              <w:rPr>
                <w:webHidden/>
              </w:rPr>
              <w:fldChar w:fldCharType="end"/>
            </w:r>
          </w:hyperlink>
        </w:p>
        <w:p w14:paraId="49D8181F" w14:textId="699152BA" w:rsidR="00DF42CE" w:rsidRDefault="00DF42CE">
          <w:pPr>
            <w:pStyle w:val="TOC2"/>
            <w:rPr>
              <w:rFonts w:asciiTheme="minorHAnsi" w:eastAsiaTheme="minorEastAsia" w:hAnsiTheme="minorHAnsi" w:cstheme="minorBidi"/>
              <w:color w:val="auto"/>
            </w:rPr>
          </w:pPr>
          <w:hyperlink w:anchor="_Toc101366843" w:history="1">
            <w:r w:rsidRPr="00B02C49">
              <w:rPr>
                <w:rStyle w:val="Hyperlink"/>
              </w:rPr>
              <w:t>3.5</w:t>
            </w:r>
            <w:r>
              <w:rPr>
                <w:rFonts w:asciiTheme="minorHAnsi" w:eastAsiaTheme="minorEastAsia" w:hAnsiTheme="minorHAnsi" w:cstheme="minorBidi"/>
                <w:color w:val="auto"/>
              </w:rPr>
              <w:tab/>
            </w:r>
            <w:r w:rsidRPr="00B02C49">
              <w:rPr>
                <w:rStyle w:val="Hyperlink"/>
              </w:rPr>
              <w:t>Rating outcomes that align with the Council Plan</w:t>
            </w:r>
            <w:r>
              <w:rPr>
                <w:webHidden/>
              </w:rPr>
              <w:tab/>
            </w:r>
            <w:r>
              <w:rPr>
                <w:webHidden/>
              </w:rPr>
              <w:fldChar w:fldCharType="begin"/>
            </w:r>
            <w:r>
              <w:rPr>
                <w:webHidden/>
              </w:rPr>
              <w:instrText xml:space="preserve"> PAGEREF _Toc101366843 \h </w:instrText>
            </w:r>
            <w:r>
              <w:rPr>
                <w:webHidden/>
              </w:rPr>
            </w:r>
            <w:r>
              <w:rPr>
                <w:webHidden/>
              </w:rPr>
              <w:fldChar w:fldCharType="separate"/>
            </w:r>
            <w:r>
              <w:rPr>
                <w:webHidden/>
              </w:rPr>
              <w:t>7</w:t>
            </w:r>
            <w:r>
              <w:rPr>
                <w:webHidden/>
              </w:rPr>
              <w:fldChar w:fldCharType="end"/>
            </w:r>
          </w:hyperlink>
        </w:p>
        <w:p w14:paraId="022228A5" w14:textId="503955C8" w:rsidR="00DF42CE" w:rsidRDefault="00DF42CE">
          <w:pPr>
            <w:pStyle w:val="TOC1"/>
            <w:rPr>
              <w:rFonts w:asciiTheme="minorHAnsi" w:eastAsiaTheme="minorEastAsia" w:hAnsiTheme="minorHAnsi" w:cstheme="minorBidi"/>
              <w:b w:val="0"/>
              <w:color w:val="auto"/>
            </w:rPr>
          </w:pPr>
          <w:hyperlink w:anchor="_Toc101366844" w:history="1">
            <w:r w:rsidRPr="00B02C49">
              <w:rPr>
                <w:rStyle w:val="Hyperlink"/>
              </w:rPr>
              <w:t>4.</w:t>
            </w:r>
            <w:r>
              <w:rPr>
                <w:rFonts w:asciiTheme="minorHAnsi" w:eastAsiaTheme="minorEastAsia" w:hAnsiTheme="minorHAnsi" w:cstheme="minorBidi"/>
                <w:b w:val="0"/>
                <w:color w:val="auto"/>
              </w:rPr>
              <w:tab/>
            </w:r>
            <w:r w:rsidRPr="00B02C49">
              <w:rPr>
                <w:rStyle w:val="Hyperlink"/>
              </w:rPr>
              <w:t>Rating Principles</w:t>
            </w:r>
            <w:r>
              <w:rPr>
                <w:webHidden/>
              </w:rPr>
              <w:tab/>
            </w:r>
            <w:r>
              <w:rPr>
                <w:webHidden/>
              </w:rPr>
              <w:fldChar w:fldCharType="begin"/>
            </w:r>
            <w:r>
              <w:rPr>
                <w:webHidden/>
              </w:rPr>
              <w:instrText xml:space="preserve"> PAGEREF _Toc101366844 \h </w:instrText>
            </w:r>
            <w:r>
              <w:rPr>
                <w:webHidden/>
              </w:rPr>
            </w:r>
            <w:r>
              <w:rPr>
                <w:webHidden/>
              </w:rPr>
              <w:fldChar w:fldCharType="separate"/>
            </w:r>
            <w:r>
              <w:rPr>
                <w:webHidden/>
              </w:rPr>
              <w:t>8</w:t>
            </w:r>
            <w:r>
              <w:rPr>
                <w:webHidden/>
              </w:rPr>
              <w:fldChar w:fldCharType="end"/>
            </w:r>
          </w:hyperlink>
        </w:p>
        <w:p w14:paraId="737DEB13" w14:textId="51733031" w:rsidR="00DF42CE" w:rsidRDefault="00DF42CE">
          <w:pPr>
            <w:pStyle w:val="TOC1"/>
            <w:rPr>
              <w:rFonts w:asciiTheme="minorHAnsi" w:eastAsiaTheme="minorEastAsia" w:hAnsiTheme="minorHAnsi" w:cstheme="minorBidi"/>
              <w:b w:val="0"/>
              <w:color w:val="auto"/>
            </w:rPr>
          </w:pPr>
          <w:hyperlink w:anchor="_Toc101366845" w:history="1">
            <w:r w:rsidRPr="00B02C49">
              <w:rPr>
                <w:rStyle w:val="Hyperlink"/>
              </w:rPr>
              <w:t>5.</w:t>
            </w:r>
            <w:r>
              <w:rPr>
                <w:rFonts w:asciiTheme="minorHAnsi" w:eastAsiaTheme="minorEastAsia" w:hAnsiTheme="minorHAnsi" w:cstheme="minorBidi"/>
                <w:b w:val="0"/>
                <w:color w:val="auto"/>
              </w:rPr>
              <w:tab/>
            </w:r>
            <w:r w:rsidRPr="00B02C49">
              <w:rPr>
                <w:rStyle w:val="Hyperlink"/>
              </w:rPr>
              <w:t>Rates based on property valuation</w:t>
            </w:r>
            <w:r>
              <w:rPr>
                <w:webHidden/>
              </w:rPr>
              <w:tab/>
            </w:r>
            <w:r>
              <w:rPr>
                <w:webHidden/>
              </w:rPr>
              <w:fldChar w:fldCharType="begin"/>
            </w:r>
            <w:r>
              <w:rPr>
                <w:webHidden/>
              </w:rPr>
              <w:instrText xml:space="preserve"> PAGEREF _Toc101366845 \h </w:instrText>
            </w:r>
            <w:r>
              <w:rPr>
                <w:webHidden/>
              </w:rPr>
            </w:r>
            <w:r>
              <w:rPr>
                <w:webHidden/>
              </w:rPr>
              <w:fldChar w:fldCharType="separate"/>
            </w:r>
            <w:r>
              <w:rPr>
                <w:webHidden/>
              </w:rPr>
              <w:t>10</w:t>
            </w:r>
            <w:r>
              <w:rPr>
                <w:webHidden/>
              </w:rPr>
              <w:fldChar w:fldCharType="end"/>
            </w:r>
          </w:hyperlink>
        </w:p>
        <w:p w14:paraId="40B02D64" w14:textId="08F24DF5" w:rsidR="00DF42CE" w:rsidRDefault="00DF42CE">
          <w:pPr>
            <w:pStyle w:val="TOC2"/>
            <w:rPr>
              <w:rFonts w:asciiTheme="minorHAnsi" w:eastAsiaTheme="minorEastAsia" w:hAnsiTheme="minorHAnsi" w:cstheme="minorBidi"/>
              <w:color w:val="auto"/>
            </w:rPr>
          </w:pPr>
          <w:hyperlink w:anchor="_Toc101366846" w:history="1">
            <w:r w:rsidRPr="00B02C49">
              <w:rPr>
                <w:rStyle w:val="Hyperlink"/>
              </w:rPr>
              <w:t>5.1</w:t>
            </w:r>
            <w:r>
              <w:rPr>
                <w:rFonts w:asciiTheme="minorHAnsi" w:eastAsiaTheme="minorEastAsia" w:hAnsiTheme="minorHAnsi" w:cstheme="minorBidi"/>
                <w:color w:val="auto"/>
              </w:rPr>
              <w:tab/>
            </w:r>
            <w:r w:rsidRPr="00B02C49">
              <w:rPr>
                <w:rStyle w:val="Hyperlink"/>
              </w:rPr>
              <w:t>Property valuation methods</w:t>
            </w:r>
            <w:r>
              <w:rPr>
                <w:webHidden/>
              </w:rPr>
              <w:tab/>
            </w:r>
            <w:r>
              <w:rPr>
                <w:webHidden/>
              </w:rPr>
              <w:fldChar w:fldCharType="begin"/>
            </w:r>
            <w:r>
              <w:rPr>
                <w:webHidden/>
              </w:rPr>
              <w:instrText xml:space="preserve"> PAGEREF _Toc101366846 \h </w:instrText>
            </w:r>
            <w:r>
              <w:rPr>
                <w:webHidden/>
              </w:rPr>
            </w:r>
            <w:r>
              <w:rPr>
                <w:webHidden/>
              </w:rPr>
              <w:fldChar w:fldCharType="separate"/>
            </w:r>
            <w:r>
              <w:rPr>
                <w:webHidden/>
              </w:rPr>
              <w:t>10</w:t>
            </w:r>
            <w:r>
              <w:rPr>
                <w:webHidden/>
              </w:rPr>
              <w:fldChar w:fldCharType="end"/>
            </w:r>
          </w:hyperlink>
        </w:p>
        <w:p w14:paraId="41CA3F0D" w14:textId="6C41F26B" w:rsidR="00DF42CE" w:rsidRDefault="00DF42CE">
          <w:pPr>
            <w:pStyle w:val="TOC2"/>
            <w:rPr>
              <w:rFonts w:asciiTheme="minorHAnsi" w:eastAsiaTheme="minorEastAsia" w:hAnsiTheme="minorHAnsi" w:cstheme="minorBidi"/>
              <w:color w:val="auto"/>
            </w:rPr>
          </w:pPr>
          <w:hyperlink w:anchor="_Toc101366848" w:history="1">
            <w:r w:rsidRPr="00B02C49">
              <w:rPr>
                <w:rStyle w:val="Hyperlink"/>
              </w:rPr>
              <w:t>5.2</w:t>
            </w:r>
            <w:r>
              <w:rPr>
                <w:rFonts w:asciiTheme="minorHAnsi" w:eastAsiaTheme="minorEastAsia" w:hAnsiTheme="minorHAnsi" w:cstheme="minorBidi"/>
                <w:color w:val="auto"/>
              </w:rPr>
              <w:tab/>
            </w:r>
            <w:r w:rsidRPr="00B02C49">
              <w:rPr>
                <w:rStyle w:val="Hyperlink"/>
              </w:rPr>
              <w:t>Advantages and disadvantages of valuation methods</w:t>
            </w:r>
            <w:r>
              <w:rPr>
                <w:webHidden/>
              </w:rPr>
              <w:tab/>
            </w:r>
            <w:r>
              <w:rPr>
                <w:webHidden/>
              </w:rPr>
              <w:fldChar w:fldCharType="begin"/>
            </w:r>
            <w:r>
              <w:rPr>
                <w:webHidden/>
              </w:rPr>
              <w:instrText xml:space="preserve"> PAGEREF _Toc101366848 \h </w:instrText>
            </w:r>
            <w:r>
              <w:rPr>
                <w:webHidden/>
              </w:rPr>
            </w:r>
            <w:r>
              <w:rPr>
                <w:webHidden/>
              </w:rPr>
              <w:fldChar w:fldCharType="separate"/>
            </w:r>
            <w:r>
              <w:rPr>
                <w:webHidden/>
              </w:rPr>
              <w:t>10</w:t>
            </w:r>
            <w:r>
              <w:rPr>
                <w:webHidden/>
              </w:rPr>
              <w:fldChar w:fldCharType="end"/>
            </w:r>
          </w:hyperlink>
        </w:p>
        <w:p w14:paraId="06E1BAE1" w14:textId="3E086CB2" w:rsidR="00DF42CE" w:rsidRDefault="00DF42CE">
          <w:pPr>
            <w:pStyle w:val="TOC2"/>
            <w:rPr>
              <w:rFonts w:asciiTheme="minorHAnsi" w:eastAsiaTheme="minorEastAsia" w:hAnsiTheme="minorHAnsi" w:cstheme="minorBidi"/>
              <w:color w:val="auto"/>
            </w:rPr>
          </w:pPr>
          <w:hyperlink w:anchor="_Toc101366849" w:history="1">
            <w:r w:rsidRPr="00B02C49">
              <w:rPr>
                <w:rStyle w:val="Hyperlink"/>
              </w:rPr>
              <w:t>5.3</w:t>
            </w:r>
            <w:r>
              <w:rPr>
                <w:rFonts w:asciiTheme="minorHAnsi" w:eastAsiaTheme="minorEastAsia" w:hAnsiTheme="minorHAnsi" w:cstheme="minorBidi"/>
                <w:color w:val="auto"/>
              </w:rPr>
              <w:tab/>
            </w:r>
            <w:r w:rsidRPr="00B02C49">
              <w:rPr>
                <w:rStyle w:val="Hyperlink"/>
              </w:rPr>
              <w:t>Property valuation method adopted</w:t>
            </w:r>
            <w:r>
              <w:rPr>
                <w:webHidden/>
              </w:rPr>
              <w:tab/>
            </w:r>
            <w:r>
              <w:rPr>
                <w:webHidden/>
              </w:rPr>
              <w:fldChar w:fldCharType="begin"/>
            </w:r>
            <w:r>
              <w:rPr>
                <w:webHidden/>
              </w:rPr>
              <w:instrText xml:space="preserve"> PAGEREF _Toc101366849 \h </w:instrText>
            </w:r>
            <w:r>
              <w:rPr>
                <w:webHidden/>
              </w:rPr>
            </w:r>
            <w:r>
              <w:rPr>
                <w:webHidden/>
              </w:rPr>
              <w:fldChar w:fldCharType="separate"/>
            </w:r>
            <w:r>
              <w:rPr>
                <w:webHidden/>
              </w:rPr>
              <w:t>11</w:t>
            </w:r>
            <w:r>
              <w:rPr>
                <w:webHidden/>
              </w:rPr>
              <w:fldChar w:fldCharType="end"/>
            </w:r>
          </w:hyperlink>
        </w:p>
        <w:p w14:paraId="1CCB0575" w14:textId="341D216C" w:rsidR="00DF42CE" w:rsidRDefault="00DF42CE">
          <w:pPr>
            <w:pStyle w:val="TOC2"/>
            <w:rPr>
              <w:rFonts w:asciiTheme="minorHAnsi" w:eastAsiaTheme="minorEastAsia" w:hAnsiTheme="minorHAnsi" w:cstheme="minorBidi"/>
              <w:color w:val="auto"/>
            </w:rPr>
          </w:pPr>
          <w:hyperlink w:anchor="_Toc101366850" w:history="1">
            <w:r w:rsidRPr="00B02C49">
              <w:rPr>
                <w:rStyle w:val="Hyperlink"/>
              </w:rPr>
              <w:t>5.4</w:t>
            </w:r>
            <w:r>
              <w:rPr>
                <w:rFonts w:asciiTheme="minorHAnsi" w:eastAsiaTheme="minorEastAsia" w:hAnsiTheme="minorHAnsi" w:cstheme="minorBidi"/>
                <w:color w:val="auto"/>
              </w:rPr>
              <w:tab/>
            </w:r>
            <w:r w:rsidRPr="00B02C49">
              <w:rPr>
                <w:rStyle w:val="Hyperlink"/>
              </w:rPr>
              <w:t>Use of differential ratings</w:t>
            </w:r>
            <w:r>
              <w:rPr>
                <w:webHidden/>
              </w:rPr>
              <w:tab/>
            </w:r>
            <w:r>
              <w:rPr>
                <w:webHidden/>
              </w:rPr>
              <w:fldChar w:fldCharType="begin"/>
            </w:r>
            <w:r>
              <w:rPr>
                <w:webHidden/>
              </w:rPr>
              <w:instrText xml:space="preserve"> PAGEREF _Toc101366850 \h </w:instrText>
            </w:r>
            <w:r>
              <w:rPr>
                <w:webHidden/>
              </w:rPr>
            </w:r>
            <w:r>
              <w:rPr>
                <w:webHidden/>
              </w:rPr>
              <w:fldChar w:fldCharType="separate"/>
            </w:r>
            <w:r>
              <w:rPr>
                <w:webHidden/>
              </w:rPr>
              <w:t>11</w:t>
            </w:r>
            <w:r>
              <w:rPr>
                <w:webHidden/>
              </w:rPr>
              <w:fldChar w:fldCharType="end"/>
            </w:r>
          </w:hyperlink>
        </w:p>
        <w:p w14:paraId="339D2A6D" w14:textId="3538214E" w:rsidR="00DF42CE" w:rsidRDefault="00DF42CE">
          <w:pPr>
            <w:pStyle w:val="TOC2"/>
            <w:rPr>
              <w:rFonts w:asciiTheme="minorHAnsi" w:eastAsiaTheme="minorEastAsia" w:hAnsiTheme="minorHAnsi" w:cstheme="minorBidi"/>
              <w:color w:val="auto"/>
            </w:rPr>
          </w:pPr>
          <w:hyperlink w:anchor="_Toc101366852" w:history="1">
            <w:r w:rsidRPr="00B02C49">
              <w:rPr>
                <w:rStyle w:val="Hyperlink"/>
              </w:rPr>
              <w:t>5.5</w:t>
            </w:r>
            <w:r>
              <w:rPr>
                <w:rFonts w:asciiTheme="minorHAnsi" w:eastAsiaTheme="minorEastAsia" w:hAnsiTheme="minorHAnsi" w:cstheme="minorBidi"/>
                <w:color w:val="auto"/>
              </w:rPr>
              <w:tab/>
            </w:r>
            <w:r w:rsidRPr="00B02C49">
              <w:rPr>
                <w:rStyle w:val="Hyperlink"/>
              </w:rPr>
              <w:t>Valuation and supplementary valuation process</w:t>
            </w:r>
            <w:r>
              <w:rPr>
                <w:webHidden/>
              </w:rPr>
              <w:tab/>
            </w:r>
            <w:r>
              <w:rPr>
                <w:webHidden/>
              </w:rPr>
              <w:fldChar w:fldCharType="begin"/>
            </w:r>
            <w:r>
              <w:rPr>
                <w:webHidden/>
              </w:rPr>
              <w:instrText xml:space="preserve"> PAGEREF _Toc101366852 \h </w:instrText>
            </w:r>
            <w:r>
              <w:rPr>
                <w:webHidden/>
              </w:rPr>
            </w:r>
            <w:r>
              <w:rPr>
                <w:webHidden/>
              </w:rPr>
              <w:fldChar w:fldCharType="separate"/>
            </w:r>
            <w:r>
              <w:rPr>
                <w:webHidden/>
              </w:rPr>
              <w:t>13</w:t>
            </w:r>
            <w:r>
              <w:rPr>
                <w:webHidden/>
              </w:rPr>
              <w:fldChar w:fldCharType="end"/>
            </w:r>
          </w:hyperlink>
        </w:p>
        <w:p w14:paraId="2F717808" w14:textId="44BD4F64" w:rsidR="00DF42CE" w:rsidRDefault="00DF42CE">
          <w:pPr>
            <w:pStyle w:val="TOC1"/>
            <w:rPr>
              <w:rFonts w:asciiTheme="minorHAnsi" w:eastAsiaTheme="minorEastAsia" w:hAnsiTheme="minorHAnsi" w:cstheme="minorBidi"/>
              <w:b w:val="0"/>
              <w:color w:val="auto"/>
            </w:rPr>
          </w:pPr>
          <w:hyperlink w:anchor="_Toc101366854" w:history="1">
            <w:r w:rsidRPr="00B02C49">
              <w:rPr>
                <w:rStyle w:val="Hyperlink"/>
              </w:rPr>
              <w:t>6.</w:t>
            </w:r>
            <w:r>
              <w:rPr>
                <w:rFonts w:asciiTheme="minorHAnsi" w:eastAsiaTheme="minorEastAsia" w:hAnsiTheme="minorHAnsi" w:cstheme="minorBidi"/>
                <w:b w:val="0"/>
                <w:color w:val="auto"/>
              </w:rPr>
              <w:tab/>
            </w:r>
            <w:r w:rsidRPr="00B02C49">
              <w:rPr>
                <w:rStyle w:val="Hyperlink"/>
              </w:rPr>
              <w:t>Other rates and charges</w:t>
            </w:r>
            <w:r>
              <w:rPr>
                <w:webHidden/>
              </w:rPr>
              <w:tab/>
            </w:r>
            <w:r>
              <w:rPr>
                <w:webHidden/>
              </w:rPr>
              <w:fldChar w:fldCharType="begin"/>
            </w:r>
            <w:r>
              <w:rPr>
                <w:webHidden/>
              </w:rPr>
              <w:instrText xml:space="preserve"> PAGEREF _Toc101366854 \h </w:instrText>
            </w:r>
            <w:r>
              <w:rPr>
                <w:webHidden/>
              </w:rPr>
            </w:r>
            <w:r>
              <w:rPr>
                <w:webHidden/>
              </w:rPr>
              <w:fldChar w:fldCharType="separate"/>
            </w:r>
            <w:r>
              <w:rPr>
                <w:webHidden/>
              </w:rPr>
              <w:t>14</w:t>
            </w:r>
            <w:r>
              <w:rPr>
                <w:webHidden/>
              </w:rPr>
              <w:fldChar w:fldCharType="end"/>
            </w:r>
          </w:hyperlink>
        </w:p>
        <w:p w14:paraId="2F169BFB" w14:textId="0068E0D8" w:rsidR="00DF42CE" w:rsidRDefault="00DF42CE">
          <w:pPr>
            <w:pStyle w:val="TOC2"/>
            <w:rPr>
              <w:rFonts w:asciiTheme="minorHAnsi" w:eastAsiaTheme="minorEastAsia" w:hAnsiTheme="minorHAnsi" w:cstheme="minorBidi"/>
              <w:color w:val="auto"/>
            </w:rPr>
          </w:pPr>
          <w:hyperlink w:anchor="_Toc101366855" w:history="1">
            <w:r w:rsidRPr="00B02C49">
              <w:rPr>
                <w:rStyle w:val="Hyperlink"/>
              </w:rPr>
              <w:t>6.1</w:t>
            </w:r>
            <w:r>
              <w:rPr>
                <w:rFonts w:asciiTheme="minorHAnsi" w:eastAsiaTheme="minorEastAsia" w:hAnsiTheme="minorHAnsi" w:cstheme="minorBidi"/>
                <w:color w:val="auto"/>
              </w:rPr>
              <w:tab/>
            </w:r>
            <w:r w:rsidRPr="00B02C49">
              <w:rPr>
                <w:rStyle w:val="Hyperlink"/>
              </w:rPr>
              <w:t>Municipal charge</w:t>
            </w:r>
            <w:r>
              <w:rPr>
                <w:webHidden/>
              </w:rPr>
              <w:tab/>
            </w:r>
            <w:r>
              <w:rPr>
                <w:webHidden/>
              </w:rPr>
              <w:fldChar w:fldCharType="begin"/>
            </w:r>
            <w:r>
              <w:rPr>
                <w:webHidden/>
              </w:rPr>
              <w:instrText xml:space="preserve"> PAGEREF _Toc101366855 \h </w:instrText>
            </w:r>
            <w:r>
              <w:rPr>
                <w:webHidden/>
              </w:rPr>
            </w:r>
            <w:r>
              <w:rPr>
                <w:webHidden/>
              </w:rPr>
              <w:fldChar w:fldCharType="separate"/>
            </w:r>
            <w:r>
              <w:rPr>
                <w:webHidden/>
              </w:rPr>
              <w:t>14</w:t>
            </w:r>
            <w:r>
              <w:rPr>
                <w:webHidden/>
              </w:rPr>
              <w:fldChar w:fldCharType="end"/>
            </w:r>
          </w:hyperlink>
        </w:p>
        <w:p w14:paraId="116AB431" w14:textId="113BB0D9" w:rsidR="00DF42CE" w:rsidRDefault="00DF42CE">
          <w:pPr>
            <w:pStyle w:val="TOC2"/>
            <w:rPr>
              <w:rFonts w:asciiTheme="minorHAnsi" w:eastAsiaTheme="minorEastAsia" w:hAnsiTheme="minorHAnsi" w:cstheme="minorBidi"/>
              <w:color w:val="auto"/>
            </w:rPr>
          </w:pPr>
          <w:hyperlink w:anchor="_Toc101366856" w:history="1">
            <w:r w:rsidRPr="00B02C49">
              <w:rPr>
                <w:rStyle w:val="Hyperlink"/>
              </w:rPr>
              <w:t>6.2</w:t>
            </w:r>
            <w:r>
              <w:rPr>
                <w:rFonts w:asciiTheme="minorHAnsi" w:eastAsiaTheme="minorEastAsia" w:hAnsiTheme="minorHAnsi" w:cstheme="minorBidi"/>
                <w:color w:val="auto"/>
              </w:rPr>
              <w:tab/>
            </w:r>
            <w:r w:rsidRPr="00B02C49">
              <w:rPr>
                <w:rStyle w:val="Hyperlink"/>
              </w:rPr>
              <w:t>Waste Charges for Direct/Private Benefit Waste Services</w:t>
            </w:r>
            <w:r>
              <w:rPr>
                <w:webHidden/>
              </w:rPr>
              <w:tab/>
            </w:r>
            <w:r>
              <w:rPr>
                <w:webHidden/>
              </w:rPr>
              <w:fldChar w:fldCharType="begin"/>
            </w:r>
            <w:r>
              <w:rPr>
                <w:webHidden/>
              </w:rPr>
              <w:instrText xml:space="preserve"> PAGEREF _Toc101366856 \h </w:instrText>
            </w:r>
            <w:r>
              <w:rPr>
                <w:webHidden/>
              </w:rPr>
            </w:r>
            <w:r>
              <w:rPr>
                <w:webHidden/>
              </w:rPr>
              <w:fldChar w:fldCharType="separate"/>
            </w:r>
            <w:r>
              <w:rPr>
                <w:webHidden/>
              </w:rPr>
              <w:t>14</w:t>
            </w:r>
            <w:r>
              <w:rPr>
                <w:webHidden/>
              </w:rPr>
              <w:fldChar w:fldCharType="end"/>
            </w:r>
          </w:hyperlink>
        </w:p>
        <w:p w14:paraId="458F84A2" w14:textId="6BE4DB4E" w:rsidR="00DF42CE" w:rsidRDefault="00DF42CE">
          <w:pPr>
            <w:pStyle w:val="TOC2"/>
            <w:rPr>
              <w:rFonts w:asciiTheme="minorHAnsi" w:eastAsiaTheme="minorEastAsia" w:hAnsiTheme="minorHAnsi" w:cstheme="minorBidi"/>
              <w:color w:val="auto"/>
            </w:rPr>
          </w:pPr>
          <w:hyperlink w:anchor="_Toc101366858" w:history="1">
            <w:r w:rsidRPr="00B02C49">
              <w:rPr>
                <w:rStyle w:val="Hyperlink"/>
              </w:rPr>
              <w:t>6.3</w:t>
            </w:r>
            <w:r>
              <w:rPr>
                <w:rFonts w:asciiTheme="minorHAnsi" w:eastAsiaTheme="minorEastAsia" w:hAnsiTheme="minorHAnsi" w:cstheme="minorBidi"/>
                <w:color w:val="auto"/>
              </w:rPr>
              <w:tab/>
            </w:r>
            <w:r w:rsidRPr="00B02C49">
              <w:rPr>
                <w:rStyle w:val="Hyperlink"/>
              </w:rPr>
              <w:t>Special rates and charges</w:t>
            </w:r>
            <w:r>
              <w:rPr>
                <w:webHidden/>
              </w:rPr>
              <w:tab/>
            </w:r>
            <w:r>
              <w:rPr>
                <w:webHidden/>
              </w:rPr>
              <w:fldChar w:fldCharType="begin"/>
            </w:r>
            <w:r>
              <w:rPr>
                <w:webHidden/>
              </w:rPr>
              <w:instrText xml:space="preserve"> PAGEREF _Toc101366858 \h </w:instrText>
            </w:r>
            <w:r>
              <w:rPr>
                <w:webHidden/>
              </w:rPr>
            </w:r>
            <w:r>
              <w:rPr>
                <w:webHidden/>
              </w:rPr>
              <w:fldChar w:fldCharType="separate"/>
            </w:r>
            <w:r>
              <w:rPr>
                <w:webHidden/>
              </w:rPr>
              <w:t>15</w:t>
            </w:r>
            <w:r>
              <w:rPr>
                <w:webHidden/>
              </w:rPr>
              <w:fldChar w:fldCharType="end"/>
            </w:r>
          </w:hyperlink>
        </w:p>
        <w:p w14:paraId="2DE0039C" w14:textId="6E928904" w:rsidR="00DF42CE" w:rsidRDefault="00DF42CE">
          <w:pPr>
            <w:pStyle w:val="TOC1"/>
            <w:rPr>
              <w:rFonts w:asciiTheme="minorHAnsi" w:eastAsiaTheme="minorEastAsia" w:hAnsiTheme="minorHAnsi" w:cstheme="minorBidi"/>
              <w:b w:val="0"/>
              <w:color w:val="auto"/>
            </w:rPr>
          </w:pPr>
          <w:hyperlink w:anchor="_Toc101366860" w:history="1">
            <w:r w:rsidRPr="00B02C49">
              <w:rPr>
                <w:rStyle w:val="Hyperlink"/>
              </w:rPr>
              <w:t>7.</w:t>
            </w:r>
            <w:r>
              <w:rPr>
                <w:rFonts w:asciiTheme="minorHAnsi" w:eastAsiaTheme="minorEastAsia" w:hAnsiTheme="minorHAnsi" w:cstheme="minorBidi"/>
                <w:b w:val="0"/>
                <w:color w:val="auto"/>
              </w:rPr>
              <w:tab/>
            </w:r>
            <w:r w:rsidRPr="00B02C49">
              <w:rPr>
                <w:rStyle w:val="Hyperlink"/>
              </w:rPr>
              <w:t>Targeted support for the financially disadvantaged</w:t>
            </w:r>
            <w:r>
              <w:rPr>
                <w:webHidden/>
              </w:rPr>
              <w:tab/>
            </w:r>
            <w:r>
              <w:rPr>
                <w:webHidden/>
              </w:rPr>
              <w:fldChar w:fldCharType="begin"/>
            </w:r>
            <w:r>
              <w:rPr>
                <w:webHidden/>
              </w:rPr>
              <w:instrText xml:space="preserve"> PAGEREF _Toc101366860 \h </w:instrText>
            </w:r>
            <w:r>
              <w:rPr>
                <w:webHidden/>
              </w:rPr>
            </w:r>
            <w:r>
              <w:rPr>
                <w:webHidden/>
              </w:rPr>
              <w:fldChar w:fldCharType="separate"/>
            </w:r>
            <w:r>
              <w:rPr>
                <w:webHidden/>
              </w:rPr>
              <w:t>16</w:t>
            </w:r>
            <w:r>
              <w:rPr>
                <w:webHidden/>
              </w:rPr>
              <w:fldChar w:fldCharType="end"/>
            </w:r>
          </w:hyperlink>
        </w:p>
        <w:p w14:paraId="05F73976" w14:textId="5ECBC31A" w:rsidR="00DF42CE" w:rsidRDefault="00DF42CE">
          <w:pPr>
            <w:pStyle w:val="TOC2"/>
            <w:rPr>
              <w:rFonts w:asciiTheme="minorHAnsi" w:eastAsiaTheme="minorEastAsia" w:hAnsiTheme="minorHAnsi" w:cstheme="minorBidi"/>
              <w:color w:val="auto"/>
            </w:rPr>
          </w:pPr>
          <w:hyperlink w:anchor="_Toc101366861" w:history="1">
            <w:r w:rsidRPr="00B02C49">
              <w:rPr>
                <w:rStyle w:val="Hyperlink"/>
              </w:rPr>
              <w:t>7.1</w:t>
            </w:r>
            <w:r>
              <w:rPr>
                <w:rFonts w:asciiTheme="minorHAnsi" w:eastAsiaTheme="minorEastAsia" w:hAnsiTheme="minorHAnsi" w:cstheme="minorBidi"/>
                <w:color w:val="auto"/>
              </w:rPr>
              <w:tab/>
            </w:r>
            <w:r w:rsidRPr="00B02C49">
              <w:rPr>
                <w:rStyle w:val="Hyperlink"/>
              </w:rPr>
              <w:t>Rates charged to the property</w:t>
            </w:r>
            <w:r>
              <w:rPr>
                <w:webHidden/>
              </w:rPr>
              <w:tab/>
            </w:r>
            <w:r>
              <w:rPr>
                <w:webHidden/>
              </w:rPr>
              <w:fldChar w:fldCharType="begin"/>
            </w:r>
            <w:r>
              <w:rPr>
                <w:webHidden/>
              </w:rPr>
              <w:instrText xml:space="preserve"> PAGEREF _Toc101366861 \h </w:instrText>
            </w:r>
            <w:r>
              <w:rPr>
                <w:webHidden/>
              </w:rPr>
            </w:r>
            <w:r>
              <w:rPr>
                <w:webHidden/>
              </w:rPr>
              <w:fldChar w:fldCharType="separate"/>
            </w:r>
            <w:r>
              <w:rPr>
                <w:webHidden/>
              </w:rPr>
              <w:t>16</w:t>
            </w:r>
            <w:r>
              <w:rPr>
                <w:webHidden/>
              </w:rPr>
              <w:fldChar w:fldCharType="end"/>
            </w:r>
          </w:hyperlink>
        </w:p>
        <w:p w14:paraId="786429C6" w14:textId="7AD9CEB3" w:rsidR="00DF42CE" w:rsidRDefault="00DF42CE">
          <w:pPr>
            <w:pStyle w:val="TOC2"/>
            <w:rPr>
              <w:rFonts w:asciiTheme="minorHAnsi" w:eastAsiaTheme="minorEastAsia" w:hAnsiTheme="minorHAnsi" w:cstheme="minorBidi"/>
              <w:color w:val="auto"/>
            </w:rPr>
          </w:pPr>
          <w:hyperlink w:anchor="_Toc101366862" w:history="1">
            <w:r w:rsidRPr="00B02C49">
              <w:rPr>
                <w:rStyle w:val="Hyperlink"/>
              </w:rPr>
              <w:t>7.2</w:t>
            </w:r>
            <w:r>
              <w:rPr>
                <w:rFonts w:asciiTheme="minorHAnsi" w:eastAsiaTheme="minorEastAsia" w:hAnsiTheme="minorHAnsi" w:cstheme="minorBidi"/>
                <w:color w:val="auto"/>
              </w:rPr>
              <w:tab/>
            </w:r>
            <w:r w:rsidRPr="00B02C49">
              <w:rPr>
                <w:rStyle w:val="Hyperlink"/>
              </w:rPr>
              <w:t>Deferred payment</w:t>
            </w:r>
            <w:r>
              <w:rPr>
                <w:webHidden/>
              </w:rPr>
              <w:tab/>
            </w:r>
            <w:r>
              <w:rPr>
                <w:webHidden/>
              </w:rPr>
              <w:fldChar w:fldCharType="begin"/>
            </w:r>
            <w:r>
              <w:rPr>
                <w:webHidden/>
              </w:rPr>
              <w:instrText xml:space="preserve"> PAGEREF _Toc101366862 \h </w:instrText>
            </w:r>
            <w:r>
              <w:rPr>
                <w:webHidden/>
              </w:rPr>
            </w:r>
            <w:r>
              <w:rPr>
                <w:webHidden/>
              </w:rPr>
              <w:fldChar w:fldCharType="separate"/>
            </w:r>
            <w:r>
              <w:rPr>
                <w:webHidden/>
              </w:rPr>
              <w:t>16</w:t>
            </w:r>
            <w:r>
              <w:rPr>
                <w:webHidden/>
              </w:rPr>
              <w:fldChar w:fldCharType="end"/>
            </w:r>
          </w:hyperlink>
        </w:p>
        <w:p w14:paraId="35A37CD4" w14:textId="63EFBC1A" w:rsidR="00DF42CE" w:rsidRDefault="00DF42CE">
          <w:pPr>
            <w:pStyle w:val="TOC2"/>
            <w:rPr>
              <w:rFonts w:asciiTheme="minorHAnsi" w:eastAsiaTheme="minorEastAsia" w:hAnsiTheme="minorHAnsi" w:cstheme="minorBidi"/>
              <w:color w:val="auto"/>
            </w:rPr>
          </w:pPr>
          <w:hyperlink w:anchor="_Toc101366863" w:history="1">
            <w:r w:rsidRPr="00B02C49">
              <w:rPr>
                <w:rStyle w:val="Hyperlink"/>
              </w:rPr>
              <w:t>7.3</w:t>
            </w:r>
            <w:r>
              <w:rPr>
                <w:rFonts w:asciiTheme="minorHAnsi" w:eastAsiaTheme="minorEastAsia" w:hAnsiTheme="minorHAnsi" w:cstheme="minorBidi"/>
                <w:color w:val="auto"/>
              </w:rPr>
              <w:tab/>
            </w:r>
            <w:r w:rsidRPr="00B02C49">
              <w:rPr>
                <w:rStyle w:val="Hyperlink"/>
              </w:rPr>
              <w:t>Waivers</w:t>
            </w:r>
            <w:r>
              <w:rPr>
                <w:webHidden/>
              </w:rPr>
              <w:tab/>
            </w:r>
            <w:r>
              <w:rPr>
                <w:webHidden/>
              </w:rPr>
              <w:fldChar w:fldCharType="begin"/>
            </w:r>
            <w:r>
              <w:rPr>
                <w:webHidden/>
              </w:rPr>
              <w:instrText xml:space="preserve"> PAGEREF _Toc101366863 \h </w:instrText>
            </w:r>
            <w:r>
              <w:rPr>
                <w:webHidden/>
              </w:rPr>
            </w:r>
            <w:r>
              <w:rPr>
                <w:webHidden/>
              </w:rPr>
              <w:fldChar w:fldCharType="separate"/>
            </w:r>
            <w:r>
              <w:rPr>
                <w:webHidden/>
              </w:rPr>
              <w:t>16</w:t>
            </w:r>
            <w:r>
              <w:rPr>
                <w:webHidden/>
              </w:rPr>
              <w:fldChar w:fldCharType="end"/>
            </w:r>
          </w:hyperlink>
        </w:p>
        <w:p w14:paraId="5BF89A12" w14:textId="1057124F" w:rsidR="00DF42CE" w:rsidRDefault="00DF42CE">
          <w:pPr>
            <w:pStyle w:val="TOC2"/>
            <w:rPr>
              <w:rFonts w:asciiTheme="minorHAnsi" w:eastAsiaTheme="minorEastAsia" w:hAnsiTheme="minorHAnsi" w:cstheme="minorBidi"/>
              <w:color w:val="auto"/>
            </w:rPr>
          </w:pPr>
          <w:hyperlink w:anchor="_Toc101366864" w:history="1">
            <w:r w:rsidRPr="00B02C49">
              <w:rPr>
                <w:rStyle w:val="Hyperlink"/>
              </w:rPr>
              <w:t>7.4</w:t>
            </w:r>
            <w:r>
              <w:rPr>
                <w:rFonts w:asciiTheme="minorHAnsi" w:eastAsiaTheme="minorEastAsia" w:hAnsiTheme="minorHAnsi" w:cstheme="minorBidi"/>
                <w:color w:val="auto"/>
              </w:rPr>
              <w:tab/>
            </w:r>
            <w:r w:rsidRPr="00B02C49">
              <w:rPr>
                <w:rStyle w:val="Hyperlink"/>
              </w:rPr>
              <w:t>Pensioner rebates</w:t>
            </w:r>
            <w:r>
              <w:rPr>
                <w:webHidden/>
              </w:rPr>
              <w:tab/>
            </w:r>
            <w:r>
              <w:rPr>
                <w:webHidden/>
              </w:rPr>
              <w:fldChar w:fldCharType="begin"/>
            </w:r>
            <w:r>
              <w:rPr>
                <w:webHidden/>
              </w:rPr>
              <w:instrText xml:space="preserve"> PAGEREF _Toc101366864 \h </w:instrText>
            </w:r>
            <w:r>
              <w:rPr>
                <w:webHidden/>
              </w:rPr>
            </w:r>
            <w:r>
              <w:rPr>
                <w:webHidden/>
              </w:rPr>
              <w:fldChar w:fldCharType="separate"/>
            </w:r>
            <w:r>
              <w:rPr>
                <w:webHidden/>
              </w:rPr>
              <w:t>16</w:t>
            </w:r>
            <w:r>
              <w:rPr>
                <w:webHidden/>
              </w:rPr>
              <w:fldChar w:fldCharType="end"/>
            </w:r>
          </w:hyperlink>
        </w:p>
        <w:p w14:paraId="6B3B8232" w14:textId="29F547D9" w:rsidR="00DF42CE" w:rsidRDefault="00DF42CE">
          <w:pPr>
            <w:pStyle w:val="TOC2"/>
            <w:rPr>
              <w:rFonts w:asciiTheme="minorHAnsi" w:eastAsiaTheme="minorEastAsia" w:hAnsiTheme="minorHAnsi" w:cstheme="minorBidi"/>
              <w:color w:val="auto"/>
            </w:rPr>
          </w:pPr>
          <w:hyperlink w:anchor="_Toc101366865" w:history="1">
            <w:r w:rsidRPr="00B02C49">
              <w:rPr>
                <w:rStyle w:val="Hyperlink"/>
              </w:rPr>
              <w:t>7.5</w:t>
            </w:r>
            <w:r>
              <w:rPr>
                <w:rFonts w:asciiTheme="minorHAnsi" w:eastAsiaTheme="minorEastAsia" w:hAnsiTheme="minorHAnsi" w:cstheme="minorBidi"/>
                <w:color w:val="auto"/>
              </w:rPr>
              <w:tab/>
            </w:r>
            <w:r w:rsidRPr="00B02C49">
              <w:rPr>
                <w:rStyle w:val="Hyperlink"/>
              </w:rPr>
              <w:t>A compassionate approach to debt management</w:t>
            </w:r>
            <w:r>
              <w:rPr>
                <w:webHidden/>
              </w:rPr>
              <w:tab/>
            </w:r>
            <w:r>
              <w:rPr>
                <w:webHidden/>
              </w:rPr>
              <w:fldChar w:fldCharType="begin"/>
            </w:r>
            <w:r>
              <w:rPr>
                <w:webHidden/>
              </w:rPr>
              <w:instrText xml:space="preserve"> PAGEREF _Toc101366865 \h </w:instrText>
            </w:r>
            <w:r>
              <w:rPr>
                <w:webHidden/>
              </w:rPr>
            </w:r>
            <w:r>
              <w:rPr>
                <w:webHidden/>
              </w:rPr>
              <w:fldChar w:fldCharType="separate"/>
            </w:r>
            <w:r>
              <w:rPr>
                <w:webHidden/>
              </w:rPr>
              <w:t>17</w:t>
            </w:r>
            <w:r>
              <w:rPr>
                <w:webHidden/>
              </w:rPr>
              <w:fldChar w:fldCharType="end"/>
            </w:r>
          </w:hyperlink>
        </w:p>
        <w:p w14:paraId="64FEBA50" w14:textId="69D11CB3" w:rsidR="00DF42CE" w:rsidRDefault="00DF42CE">
          <w:pPr>
            <w:pStyle w:val="TOC1"/>
            <w:rPr>
              <w:rFonts w:asciiTheme="minorHAnsi" w:eastAsiaTheme="minorEastAsia" w:hAnsiTheme="minorHAnsi" w:cstheme="minorBidi"/>
              <w:b w:val="0"/>
              <w:color w:val="auto"/>
            </w:rPr>
          </w:pPr>
          <w:hyperlink w:anchor="_Toc101366866" w:history="1">
            <w:r w:rsidRPr="00B02C49">
              <w:rPr>
                <w:rStyle w:val="Hyperlink"/>
              </w:rPr>
              <w:t>8.</w:t>
            </w:r>
            <w:r>
              <w:rPr>
                <w:rFonts w:asciiTheme="minorHAnsi" w:eastAsiaTheme="minorEastAsia" w:hAnsiTheme="minorHAnsi" w:cstheme="minorBidi"/>
                <w:b w:val="0"/>
                <w:color w:val="auto"/>
              </w:rPr>
              <w:tab/>
            </w:r>
            <w:r w:rsidRPr="00B02C49">
              <w:rPr>
                <w:rStyle w:val="Hyperlink"/>
              </w:rPr>
              <w:t>Non-rateable properties and other rate reductions</w:t>
            </w:r>
            <w:r>
              <w:rPr>
                <w:webHidden/>
              </w:rPr>
              <w:tab/>
            </w:r>
            <w:r>
              <w:rPr>
                <w:webHidden/>
              </w:rPr>
              <w:fldChar w:fldCharType="begin"/>
            </w:r>
            <w:r>
              <w:rPr>
                <w:webHidden/>
              </w:rPr>
              <w:instrText xml:space="preserve"> PAGEREF _Toc101366866 \h </w:instrText>
            </w:r>
            <w:r>
              <w:rPr>
                <w:webHidden/>
              </w:rPr>
            </w:r>
            <w:r>
              <w:rPr>
                <w:webHidden/>
              </w:rPr>
              <w:fldChar w:fldCharType="separate"/>
            </w:r>
            <w:r>
              <w:rPr>
                <w:webHidden/>
              </w:rPr>
              <w:t>18</w:t>
            </w:r>
            <w:r>
              <w:rPr>
                <w:webHidden/>
              </w:rPr>
              <w:fldChar w:fldCharType="end"/>
            </w:r>
          </w:hyperlink>
        </w:p>
        <w:p w14:paraId="1B3E7C89" w14:textId="45A59340" w:rsidR="00DF42CE" w:rsidRDefault="00DF42CE">
          <w:pPr>
            <w:pStyle w:val="TOC2"/>
            <w:rPr>
              <w:rFonts w:asciiTheme="minorHAnsi" w:eastAsiaTheme="minorEastAsia" w:hAnsiTheme="minorHAnsi" w:cstheme="minorBidi"/>
              <w:color w:val="auto"/>
            </w:rPr>
          </w:pPr>
          <w:hyperlink w:anchor="_Toc101366867" w:history="1">
            <w:r w:rsidRPr="00B02C49">
              <w:rPr>
                <w:rStyle w:val="Hyperlink"/>
              </w:rPr>
              <w:t>8.1</w:t>
            </w:r>
            <w:r>
              <w:rPr>
                <w:rFonts w:asciiTheme="minorHAnsi" w:eastAsiaTheme="minorEastAsia" w:hAnsiTheme="minorHAnsi" w:cstheme="minorBidi"/>
                <w:color w:val="auto"/>
              </w:rPr>
              <w:tab/>
            </w:r>
            <w:r w:rsidRPr="00B02C49">
              <w:rPr>
                <w:rStyle w:val="Hyperlink"/>
              </w:rPr>
              <w:t>Rebates</w:t>
            </w:r>
            <w:r>
              <w:rPr>
                <w:webHidden/>
              </w:rPr>
              <w:tab/>
            </w:r>
            <w:r>
              <w:rPr>
                <w:webHidden/>
              </w:rPr>
              <w:fldChar w:fldCharType="begin"/>
            </w:r>
            <w:r>
              <w:rPr>
                <w:webHidden/>
              </w:rPr>
              <w:instrText xml:space="preserve"> PAGEREF _Toc101366867 \h </w:instrText>
            </w:r>
            <w:r>
              <w:rPr>
                <w:webHidden/>
              </w:rPr>
            </w:r>
            <w:r>
              <w:rPr>
                <w:webHidden/>
              </w:rPr>
              <w:fldChar w:fldCharType="separate"/>
            </w:r>
            <w:r>
              <w:rPr>
                <w:webHidden/>
              </w:rPr>
              <w:t>18</w:t>
            </w:r>
            <w:r>
              <w:rPr>
                <w:webHidden/>
              </w:rPr>
              <w:fldChar w:fldCharType="end"/>
            </w:r>
          </w:hyperlink>
        </w:p>
        <w:p w14:paraId="473C55B5" w14:textId="347047F3" w:rsidR="00DF42CE" w:rsidRDefault="00DF42CE">
          <w:pPr>
            <w:pStyle w:val="TOC2"/>
            <w:rPr>
              <w:rFonts w:asciiTheme="minorHAnsi" w:eastAsiaTheme="minorEastAsia" w:hAnsiTheme="minorHAnsi" w:cstheme="minorBidi"/>
              <w:color w:val="auto"/>
            </w:rPr>
          </w:pPr>
          <w:hyperlink w:anchor="_Toc101366868" w:history="1">
            <w:r w:rsidRPr="00B02C49">
              <w:rPr>
                <w:rStyle w:val="Hyperlink"/>
              </w:rPr>
              <w:t>8.2</w:t>
            </w:r>
            <w:r>
              <w:rPr>
                <w:rFonts w:asciiTheme="minorHAnsi" w:eastAsiaTheme="minorEastAsia" w:hAnsiTheme="minorHAnsi" w:cstheme="minorBidi"/>
                <w:color w:val="auto"/>
              </w:rPr>
              <w:tab/>
            </w:r>
            <w:r w:rsidRPr="00B02C49">
              <w:rPr>
                <w:rStyle w:val="Hyperlink"/>
              </w:rPr>
              <w:t>Non-rateable properties</w:t>
            </w:r>
            <w:r>
              <w:rPr>
                <w:webHidden/>
              </w:rPr>
              <w:tab/>
            </w:r>
            <w:r>
              <w:rPr>
                <w:webHidden/>
              </w:rPr>
              <w:fldChar w:fldCharType="begin"/>
            </w:r>
            <w:r>
              <w:rPr>
                <w:webHidden/>
              </w:rPr>
              <w:instrText xml:space="preserve"> PAGEREF _Toc101366868 \h </w:instrText>
            </w:r>
            <w:r>
              <w:rPr>
                <w:webHidden/>
              </w:rPr>
            </w:r>
            <w:r>
              <w:rPr>
                <w:webHidden/>
              </w:rPr>
              <w:fldChar w:fldCharType="separate"/>
            </w:r>
            <w:r>
              <w:rPr>
                <w:webHidden/>
              </w:rPr>
              <w:t>18</w:t>
            </w:r>
            <w:r>
              <w:rPr>
                <w:webHidden/>
              </w:rPr>
              <w:fldChar w:fldCharType="end"/>
            </w:r>
          </w:hyperlink>
        </w:p>
        <w:p w14:paraId="70B0D499" w14:textId="50FAC428" w:rsidR="00DF42CE" w:rsidRDefault="00DF42CE">
          <w:pPr>
            <w:pStyle w:val="TOC2"/>
            <w:rPr>
              <w:rFonts w:asciiTheme="minorHAnsi" w:eastAsiaTheme="minorEastAsia" w:hAnsiTheme="minorHAnsi" w:cstheme="minorBidi"/>
              <w:color w:val="auto"/>
            </w:rPr>
          </w:pPr>
          <w:hyperlink w:anchor="_Toc101366869" w:history="1">
            <w:r w:rsidRPr="00B02C49">
              <w:rPr>
                <w:rStyle w:val="Hyperlink"/>
              </w:rPr>
              <w:t>8.3</w:t>
            </w:r>
            <w:r>
              <w:rPr>
                <w:rFonts w:asciiTheme="minorHAnsi" w:eastAsiaTheme="minorEastAsia" w:hAnsiTheme="minorHAnsi" w:cstheme="minorBidi"/>
                <w:color w:val="auto"/>
              </w:rPr>
              <w:tab/>
            </w:r>
            <w:r w:rsidRPr="00B02C49">
              <w:rPr>
                <w:rStyle w:val="Hyperlink"/>
              </w:rPr>
              <w:t>Cultural and Recreational Properties</w:t>
            </w:r>
            <w:r>
              <w:rPr>
                <w:webHidden/>
              </w:rPr>
              <w:tab/>
            </w:r>
            <w:r>
              <w:rPr>
                <w:webHidden/>
              </w:rPr>
              <w:fldChar w:fldCharType="begin"/>
            </w:r>
            <w:r>
              <w:rPr>
                <w:webHidden/>
              </w:rPr>
              <w:instrText xml:space="preserve"> PAGEREF _Toc101366869 \h </w:instrText>
            </w:r>
            <w:r>
              <w:rPr>
                <w:webHidden/>
              </w:rPr>
            </w:r>
            <w:r>
              <w:rPr>
                <w:webHidden/>
              </w:rPr>
              <w:fldChar w:fldCharType="separate"/>
            </w:r>
            <w:r>
              <w:rPr>
                <w:webHidden/>
              </w:rPr>
              <w:t>19</w:t>
            </w:r>
            <w:r>
              <w:rPr>
                <w:webHidden/>
              </w:rPr>
              <w:fldChar w:fldCharType="end"/>
            </w:r>
          </w:hyperlink>
        </w:p>
        <w:p w14:paraId="4AD8D53D" w14:textId="28E9FF3A" w:rsidR="00DF42CE" w:rsidRDefault="00DF42CE">
          <w:pPr>
            <w:pStyle w:val="TOC1"/>
            <w:rPr>
              <w:rFonts w:asciiTheme="minorHAnsi" w:eastAsiaTheme="minorEastAsia" w:hAnsiTheme="minorHAnsi" w:cstheme="minorBidi"/>
              <w:b w:val="0"/>
              <w:color w:val="auto"/>
            </w:rPr>
          </w:pPr>
          <w:hyperlink w:anchor="_Toc101366870" w:history="1">
            <w:r w:rsidRPr="00B02C49">
              <w:rPr>
                <w:rStyle w:val="Hyperlink"/>
              </w:rPr>
              <w:t>9.</w:t>
            </w:r>
            <w:r>
              <w:rPr>
                <w:rFonts w:asciiTheme="minorHAnsi" w:eastAsiaTheme="minorEastAsia" w:hAnsiTheme="minorHAnsi" w:cstheme="minorBidi"/>
                <w:b w:val="0"/>
                <w:color w:val="auto"/>
              </w:rPr>
              <w:tab/>
            </w:r>
            <w:r w:rsidRPr="00B02C49">
              <w:rPr>
                <w:rStyle w:val="Hyperlink"/>
              </w:rPr>
              <w:t>Review of rating strategy</w:t>
            </w:r>
            <w:r>
              <w:rPr>
                <w:webHidden/>
              </w:rPr>
              <w:tab/>
            </w:r>
            <w:r>
              <w:rPr>
                <w:webHidden/>
              </w:rPr>
              <w:fldChar w:fldCharType="begin"/>
            </w:r>
            <w:r>
              <w:rPr>
                <w:webHidden/>
              </w:rPr>
              <w:instrText xml:space="preserve"> PAGEREF _Toc101366870 \h </w:instrText>
            </w:r>
            <w:r>
              <w:rPr>
                <w:webHidden/>
              </w:rPr>
            </w:r>
            <w:r>
              <w:rPr>
                <w:webHidden/>
              </w:rPr>
              <w:fldChar w:fldCharType="separate"/>
            </w:r>
            <w:r>
              <w:rPr>
                <w:webHidden/>
              </w:rPr>
              <w:t>21</w:t>
            </w:r>
            <w:r>
              <w:rPr>
                <w:webHidden/>
              </w:rPr>
              <w:fldChar w:fldCharType="end"/>
            </w:r>
          </w:hyperlink>
        </w:p>
        <w:p w14:paraId="68359D96" w14:textId="77777777" w:rsidR="005062FA" w:rsidRDefault="00471135">
          <w:pPr>
            <w:pStyle w:val="TOC2"/>
            <w:rPr>
              <w:b/>
            </w:rPr>
          </w:pPr>
          <w:r>
            <w:rPr>
              <w:b/>
            </w:rPr>
            <w:fldChar w:fldCharType="end"/>
          </w:r>
        </w:p>
        <w:p w14:paraId="78594D9B" w14:textId="27122028" w:rsidR="00972B8F" w:rsidRPr="00257DF2" w:rsidRDefault="000875BA" w:rsidP="008B25A7">
          <w:pPr>
            <w:pStyle w:val="TOC2"/>
            <w:ind w:left="426" w:firstLine="0"/>
          </w:pPr>
        </w:p>
      </w:sdtContent>
    </w:sdt>
    <w:p w14:paraId="2EB6FB75" w14:textId="2A073B65" w:rsidR="00F65372" w:rsidRDefault="0067068E" w:rsidP="00F16081">
      <w:pPr>
        <w:pStyle w:val="Heading1"/>
      </w:pPr>
      <w:bookmarkStart w:id="0" w:name="_Hlk101349932"/>
      <w:bookmarkStart w:id="1" w:name="_Toc101366766"/>
      <w:r>
        <w:t>Purpose</w:t>
      </w:r>
      <w:bookmarkEnd w:id="1"/>
    </w:p>
    <w:bookmarkEnd w:id="0"/>
    <w:p w14:paraId="09AB37DC" w14:textId="77777777" w:rsidR="0067068E" w:rsidRPr="00662E02" w:rsidRDefault="0067068E" w:rsidP="0067068E">
      <w:pPr>
        <w:widowControl w:val="0"/>
        <w:autoSpaceDE w:val="0"/>
        <w:autoSpaceDN w:val="0"/>
        <w:adjustRightInd w:val="0"/>
        <w:spacing w:line="276" w:lineRule="auto"/>
        <w:jc w:val="both"/>
      </w:pPr>
      <w:r>
        <w:t>The City of Port Phillip</w:t>
      </w:r>
      <w:r w:rsidRPr="00662E02">
        <w:t xml:space="preserve"> has developed this Rating Strategy to make transparent to the community the principles by which rates are set. The Rating Strategy also satisfies the City of Port Phillip’s statutory requirements. </w:t>
      </w:r>
    </w:p>
    <w:p w14:paraId="088AAAAC" w14:textId="77777777" w:rsidR="0067068E" w:rsidRDefault="0067068E" w:rsidP="0067068E">
      <w:pPr>
        <w:widowControl w:val="0"/>
        <w:autoSpaceDE w:val="0"/>
        <w:autoSpaceDN w:val="0"/>
        <w:adjustRightInd w:val="0"/>
        <w:spacing w:line="276" w:lineRule="auto"/>
        <w:jc w:val="both"/>
      </w:pPr>
      <w:r w:rsidRPr="00662E02">
        <w:t>A limited range of choices exist for how rates revenue is raised by councils. The Rating Strategy outlines the principles to guide the City of Port Phillip to raise rates revenue, in particular how to distribute the rates burden on the community fairly.</w:t>
      </w:r>
    </w:p>
    <w:p w14:paraId="4AC2415B" w14:textId="77777777" w:rsidR="0067068E" w:rsidRPr="00662E02" w:rsidRDefault="0067068E" w:rsidP="0067068E">
      <w:pPr>
        <w:widowControl w:val="0"/>
        <w:autoSpaceDE w:val="0"/>
        <w:autoSpaceDN w:val="0"/>
        <w:adjustRightInd w:val="0"/>
        <w:spacing w:line="276" w:lineRule="auto"/>
        <w:jc w:val="both"/>
      </w:pPr>
      <w:r w:rsidRPr="00662E02">
        <w:t>In publishing the Rating Strategy, the City of Port Phillip has the following aims:</w:t>
      </w:r>
    </w:p>
    <w:p w14:paraId="195214BB" w14:textId="77777777"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t>I</w:t>
      </w:r>
      <w:r w:rsidRPr="00662E02">
        <w:t>mproving community understanding of our rating system</w:t>
      </w:r>
    </w:p>
    <w:p w14:paraId="7CF20726" w14:textId="77777777" w:rsidR="0067068E"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t>A</w:t>
      </w:r>
      <w:r w:rsidRPr="00662E02">
        <w:t>rticulating the City of Port Phillip’s strategy for distributing the rates burden on the community fairly.</w:t>
      </w:r>
    </w:p>
    <w:p w14:paraId="6C092600" w14:textId="77777777" w:rsidR="0067068E"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t>Ensuring the strategy is administered efficiently to achieve council objectives</w:t>
      </w:r>
    </w:p>
    <w:p w14:paraId="3603CF1A" w14:textId="77777777"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t xml:space="preserve">Managing the impacts of change including where necessary phasing in changes to reduce its impact. </w:t>
      </w:r>
    </w:p>
    <w:p w14:paraId="4B2CF116" w14:textId="77777777" w:rsidR="0067068E" w:rsidRDefault="0067068E" w:rsidP="0067068E">
      <w:pPr>
        <w:widowControl w:val="0"/>
        <w:autoSpaceDE w:val="0"/>
        <w:autoSpaceDN w:val="0"/>
        <w:adjustRightInd w:val="0"/>
        <w:spacing w:line="276" w:lineRule="auto"/>
        <w:jc w:val="both"/>
      </w:pPr>
      <w:r w:rsidRPr="00662E02">
        <w:t xml:space="preserve">The Rating Strategy is </w:t>
      </w:r>
      <w:r>
        <w:t xml:space="preserve">to be reviewed and endorsed by Council by the 30 June after a general council election. The </w:t>
      </w:r>
      <w:r w:rsidRPr="00662E02">
        <w:t>principles in the Rating Strategy are also outlined annually during the City of Port Phillip’s planning and budgeting cycle. This provides the community an opportunity to improve its understanding of rating in local government and provide input to the rate setting process.</w:t>
      </w:r>
    </w:p>
    <w:p w14:paraId="6F72905F" w14:textId="77777777" w:rsidR="0067068E" w:rsidRDefault="0067068E">
      <w:pPr>
        <w:rPr>
          <w:lang w:val="en-GB"/>
        </w:rPr>
      </w:pPr>
    </w:p>
    <w:p w14:paraId="2FBDE91C" w14:textId="11EC5009" w:rsidR="0067068E" w:rsidRDefault="0067068E" w:rsidP="0067068E">
      <w:pPr>
        <w:pStyle w:val="Heading1"/>
      </w:pPr>
      <w:bookmarkStart w:id="2" w:name="_Toc101366767"/>
      <w:r>
        <w:t>Context</w:t>
      </w:r>
      <w:bookmarkEnd w:id="2"/>
    </w:p>
    <w:p w14:paraId="2EDFFA27" w14:textId="4005F100" w:rsidR="0067068E" w:rsidRDefault="00AA4322" w:rsidP="008B25A7">
      <w:pPr>
        <w:pStyle w:val="Heading2"/>
        <w:numPr>
          <w:ilvl w:val="0"/>
          <w:numId w:val="0"/>
        </w:numPr>
        <w:ind w:left="735" w:hanging="735"/>
      </w:pPr>
      <w:bookmarkStart w:id="3" w:name="_Toc101366768"/>
      <w:bookmarkEnd w:id="3"/>
      <w:r>
        <w:rPr>
          <w:lang w:val="en-GB"/>
        </w:rPr>
        <w:t>2.1</w:t>
      </w:r>
      <w:r>
        <w:rPr>
          <w:lang w:val="en-GB"/>
        </w:rPr>
        <w:tab/>
      </w:r>
      <w:bookmarkStart w:id="4" w:name="_Toc101366769"/>
      <w:r w:rsidR="0067068E">
        <w:t>Legislative context</w:t>
      </w:r>
      <w:bookmarkEnd w:id="4"/>
    </w:p>
    <w:p w14:paraId="618C69EE" w14:textId="77777777" w:rsidR="0067068E" w:rsidRPr="00662E02" w:rsidRDefault="0067068E" w:rsidP="0067068E">
      <w:pPr>
        <w:widowControl w:val="0"/>
        <w:autoSpaceDE w:val="0"/>
        <w:autoSpaceDN w:val="0"/>
        <w:adjustRightInd w:val="0"/>
        <w:spacing w:line="276" w:lineRule="auto"/>
        <w:jc w:val="both"/>
      </w:pPr>
      <w:r w:rsidRPr="00662E02">
        <w:t xml:space="preserve">Section </w:t>
      </w:r>
      <w:r>
        <w:t>8(1)</w:t>
      </w:r>
      <w:r w:rsidRPr="00662E02">
        <w:t xml:space="preserve">C of the </w:t>
      </w:r>
      <w:r w:rsidRPr="00662E02">
        <w:rPr>
          <w:i/>
        </w:rPr>
        <w:t xml:space="preserve">Local of the Local Government Act </w:t>
      </w:r>
      <w:r>
        <w:rPr>
          <w:i/>
        </w:rPr>
        <w:t>2020</w:t>
      </w:r>
      <w:r w:rsidRPr="00662E02">
        <w:rPr>
          <w:i/>
        </w:rPr>
        <w:t xml:space="preserve"> (LG</w:t>
      </w:r>
      <w:r w:rsidRPr="00662E02">
        <w:t xml:space="preserve">A) outlines that the </w:t>
      </w:r>
      <w:r>
        <w:t xml:space="preserve">role of Council is </w:t>
      </w:r>
      <w:r w:rsidRPr="00662E02">
        <w:t xml:space="preserve">to </w:t>
      </w:r>
      <w:r>
        <w:t>provide good governanace for the benefit and wellbeing of the municipality.</w:t>
      </w:r>
      <w:r w:rsidRPr="00662E02">
        <w:t xml:space="preserve"> In seeking to do this, Council must ‘ensure the equitable imposition of rates and charges’. </w:t>
      </w:r>
    </w:p>
    <w:p w14:paraId="62C8BF67" w14:textId="10C0DF18" w:rsidR="0067068E" w:rsidRPr="00662E02" w:rsidRDefault="0067068E" w:rsidP="0067068E">
      <w:pPr>
        <w:widowControl w:val="0"/>
        <w:autoSpaceDE w:val="0"/>
        <w:autoSpaceDN w:val="0"/>
        <w:adjustRightInd w:val="0"/>
        <w:spacing w:line="276" w:lineRule="auto"/>
        <w:jc w:val="both"/>
      </w:pPr>
      <w:r w:rsidRPr="00662E02">
        <w:t>The legislative framework for the setting of rates and other charges is provided within the LGA. This includes the setting of:</w:t>
      </w:r>
    </w:p>
    <w:p w14:paraId="4A63BA7E" w14:textId="523B6812"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rsidRPr="00662E02">
        <w:t xml:space="preserve">general rates </w:t>
      </w:r>
    </w:p>
    <w:p w14:paraId="6EF65913" w14:textId="3937EA1D"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rsidRPr="00662E02">
        <w:t xml:space="preserve">differential rates </w:t>
      </w:r>
      <w:r w:rsidR="00E36950">
        <w:t>fo</w:t>
      </w:r>
      <w:r w:rsidRPr="00662E02">
        <w:t>r different classes of ratepayers (for example ratepayers who own residential, commercial, industrial, cultural and recreational land)</w:t>
      </w:r>
    </w:p>
    <w:p w14:paraId="7BC41DEB" w14:textId="77777777"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rsidRPr="00662E02">
        <w:t>special rates that are used for funding initiatives that benefit specific sections of the community</w:t>
      </w:r>
    </w:p>
    <w:p w14:paraId="2DBCAF7E" w14:textId="0E33BA1A" w:rsidR="0067068E" w:rsidRPr="00662E02"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rsidRPr="00662E02">
        <w:t xml:space="preserve">service charges </w:t>
      </w:r>
      <w:r>
        <w:t>(waste charges)</w:t>
      </w:r>
    </w:p>
    <w:p w14:paraId="3AA536A3" w14:textId="257E32E4" w:rsidR="0067068E" w:rsidRDefault="0067068E" w:rsidP="0067068E">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jc w:val="both"/>
      </w:pPr>
      <w:r w:rsidRPr="00662E02">
        <w:t>municipal charges which are effectively a fixed charge for each property to cover council administrative costs</w:t>
      </w:r>
    </w:p>
    <w:p w14:paraId="2B95F9CE" w14:textId="1950740D" w:rsidR="008B40FA" w:rsidRDefault="008B40FA" w:rsidP="008B40FA">
      <w:pPr>
        <w:widowControl w:val="0"/>
        <w:tabs>
          <w:tab w:val="clear" w:pos="-3060"/>
          <w:tab w:val="clear" w:pos="-2340"/>
          <w:tab w:val="clear" w:pos="6300"/>
        </w:tabs>
        <w:suppressAutoHyphens w:val="0"/>
        <w:autoSpaceDE w:val="0"/>
        <w:autoSpaceDN w:val="0"/>
        <w:adjustRightInd w:val="0"/>
        <w:spacing w:line="276" w:lineRule="auto"/>
        <w:jc w:val="both"/>
      </w:pPr>
      <w:r>
        <w:t xml:space="preserve">It also includes </w:t>
      </w:r>
      <w:r w:rsidR="0067068E">
        <w:t>ad</w:t>
      </w:r>
      <w:r w:rsidR="004764CF">
        <w:t>he</w:t>
      </w:r>
      <w:r w:rsidR="00064EC5">
        <w:t>re</w:t>
      </w:r>
      <w:r w:rsidR="004764CF">
        <w:t>nce</w:t>
      </w:r>
      <w:r w:rsidR="0067068E">
        <w:t xml:space="preserve"> to the rate capping framework (Fair Go Rates System)</w:t>
      </w:r>
      <w:r>
        <w:t xml:space="preserve"> and consideration of </w:t>
      </w:r>
      <w:r w:rsidRPr="00662E02">
        <w:t>hardship through rebates, deferments or waivers.</w:t>
      </w:r>
      <w:r>
        <w:t xml:space="preserve"> </w:t>
      </w:r>
    </w:p>
    <w:p w14:paraId="6F2DD817" w14:textId="4BDB9A32" w:rsidR="0067068E" w:rsidRPr="00662E02" w:rsidRDefault="008B40FA" w:rsidP="008B25A7">
      <w:pPr>
        <w:widowControl w:val="0"/>
        <w:tabs>
          <w:tab w:val="clear" w:pos="-3060"/>
          <w:tab w:val="clear" w:pos="-2340"/>
          <w:tab w:val="clear" w:pos="6300"/>
        </w:tabs>
        <w:suppressAutoHyphens w:val="0"/>
        <w:autoSpaceDE w:val="0"/>
        <w:autoSpaceDN w:val="0"/>
        <w:adjustRightInd w:val="0"/>
        <w:spacing w:line="276" w:lineRule="auto"/>
        <w:jc w:val="both"/>
      </w:pPr>
      <w:r>
        <w:t>This Rating Strategy</w:t>
      </w:r>
      <w:r w:rsidR="00E56ACD">
        <w:t xml:space="preserve"> addresses these matters. </w:t>
      </w:r>
    </w:p>
    <w:p w14:paraId="49698108" w14:textId="77777777" w:rsidR="006B0C4A" w:rsidRPr="0028742E" w:rsidRDefault="006B0C4A" w:rsidP="008B25A7">
      <w:pPr>
        <w:pStyle w:val="Heading2"/>
        <w:numPr>
          <w:ilvl w:val="1"/>
          <w:numId w:val="33"/>
        </w:numPr>
      </w:pPr>
      <w:bookmarkStart w:id="5" w:name="_Toc101366770"/>
      <w:r>
        <w:t>What are rates and who pays them?</w:t>
      </w:r>
      <w:bookmarkEnd w:id="5"/>
    </w:p>
    <w:p w14:paraId="6F87F668" w14:textId="77777777" w:rsidR="006B0C4A" w:rsidRPr="00B14F9B" w:rsidRDefault="006B0C4A" w:rsidP="006B0C4A">
      <w:pPr>
        <w:jc w:val="both"/>
      </w:pPr>
      <w:r w:rsidRPr="00B14F9B">
        <w:t xml:space="preserve">Council rates </w:t>
      </w:r>
      <w:r w:rsidRPr="00B14F9B">
        <w:rPr>
          <w:noProof w:val="0"/>
          <w:color w:val="auto"/>
          <w:lang w:val="en-GB" w:eastAsia="en-US"/>
        </w:rPr>
        <w:t>are the contribution that ratepayers make towards the community services and community infrastructure that councils deliver. Rates are a form of property tax, with each ratepayer contributing based on the value of the property they own</w:t>
      </w:r>
      <w:r w:rsidRPr="00B14F9B">
        <w:t>.</w:t>
      </w:r>
    </w:p>
    <w:p w14:paraId="4E04E034" w14:textId="77777777" w:rsidR="006B0C4A" w:rsidRPr="00B14F9B" w:rsidRDefault="006B0C4A" w:rsidP="006B0C4A">
      <w:pPr>
        <w:widowControl w:val="0"/>
        <w:autoSpaceDE w:val="0"/>
        <w:autoSpaceDN w:val="0"/>
        <w:adjustRightInd w:val="0"/>
        <w:spacing w:line="276" w:lineRule="auto"/>
        <w:jc w:val="both"/>
        <w:rPr>
          <w:noProof w:val="0"/>
          <w:color w:val="auto"/>
          <w:lang w:val="en-GB" w:eastAsia="en-US"/>
        </w:rPr>
      </w:pPr>
      <w:r w:rsidRPr="00B14F9B">
        <w:t xml:space="preserve">It </w:t>
      </w:r>
      <w:r w:rsidRPr="00B14F9B">
        <w:rPr>
          <w:noProof w:val="0"/>
          <w:color w:val="auto"/>
          <w:lang w:val="en-GB" w:eastAsia="en-US"/>
        </w:rPr>
        <w:t>is intended that the rates contribution made by each ratepayer represents a fair measure of the benefit received by each property and reflects the capacity of the property owner to pay for a share of council’s costs. Using property values as a basis for calculating council rates supports the following outcomes:</w:t>
      </w:r>
    </w:p>
    <w:p w14:paraId="2C19FE70" w14:textId="77777777" w:rsidR="006B0C4A" w:rsidRPr="00B14F9B" w:rsidRDefault="006B0C4A" w:rsidP="006B0C4A">
      <w:pPr>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contextualSpacing/>
        <w:jc w:val="both"/>
        <w:rPr>
          <w:noProof w:val="0"/>
          <w:color w:val="auto"/>
          <w:lang w:val="en-GB" w:eastAsia="en-US"/>
        </w:rPr>
      </w:pPr>
      <w:r w:rsidRPr="00B14F9B">
        <w:rPr>
          <w:noProof w:val="0"/>
          <w:color w:val="auto"/>
          <w:lang w:val="en-GB" w:eastAsia="en-US"/>
        </w:rPr>
        <w:t>ratepayers with similar property values are treated similarly</w:t>
      </w:r>
    </w:p>
    <w:p w14:paraId="7C42D677" w14:textId="77777777" w:rsidR="006B0C4A" w:rsidRDefault="006B0C4A" w:rsidP="006B0C4A">
      <w:pPr>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contextualSpacing/>
        <w:jc w:val="both"/>
        <w:rPr>
          <w:noProof w:val="0"/>
          <w:color w:val="auto"/>
          <w:lang w:val="en-GB" w:eastAsia="en-US"/>
        </w:rPr>
      </w:pPr>
      <w:r w:rsidRPr="00B14F9B">
        <w:rPr>
          <w:noProof w:val="0"/>
          <w:color w:val="auto"/>
          <w:lang w:val="en-GB" w:eastAsia="en-US"/>
        </w:rPr>
        <w:t xml:space="preserve">ratepayers with higher value property pay relatively more rates. </w:t>
      </w:r>
    </w:p>
    <w:p w14:paraId="2B2A93E2" w14:textId="77777777" w:rsidR="006B0C4A" w:rsidRDefault="006B0C4A" w:rsidP="006B0C4A">
      <w:pPr>
        <w:widowControl w:val="0"/>
        <w:tabs>
          <w:tab w:val="clear" w:pos="-3060"/>
          <w:tab w:val="clear" w:pos="-2340"/>
          <w:tab w:val="clear" w:pos="6300"/>
        </w:tabs>
        <w:suppressAutoHyphens w:val="0"/>
        <w:autoSpaceDE w:val="0"/>
        <w:autoSpaceDN w:val="0"/>
        <w:adjustRightInd w:val="0"/>
        <w:spacing w:line="276" w:lineRule="auto"/>
        <w:contextualSpacing/>
        <w:jc w:val="both"/>
        <w:rPr>
          <w:noProof w:val="0"/>
          <w:color w:val="auto"/>
          <w:lang w:val="en-GB" w:eastAsia="en-US"/>
        </w:rPr>
      </w:pPr>
    </w:p>
    <w:p w14:paraId="1B781A4C" w14:textId="77777777" w:rsidR="006B0C4A" w:rsidRPr="00662E02" w:rsidRDefault="006B0C4A" w:rsidP="006B0C4A">
      <w:pPr>
        <w:widowControl w:val="0"/>
        <w:autoSpaceDE w:val="0"/>
        <w:autoSpaceDN w:val="0"/>
        <w:adjustRightInd w:val="0"/>
        <w:spacing w:before="120" w:line="276" w:lineRule="auto"/>
        <w:jc w:val="both"/>
      </w:pPr>
      <w:r w:rsidRPr="00662E02">
        <w:t>It is acknowledged that the raising of rates based on the value of property is imperfect.  The major limitation of property value based rates is that ownership of property does not necessarily equate to capacity to pay. However, it is considered to be fairest way to fund community services for public benefit within the legislative framework that councils operate.</w:t>
      </w:r>
    </w:p>
    <w:p w14:paraId="0C347ED3" w14:textId="3A1EFFDD" w:rsidR="00E56ACD" w:rsidRPr="00662E02" w:rsidRDefault="006B0C4A" w:rsidP="006B0C4A">
      <w:pPr>
        <w:widowControl w:val="0"/>
        <w:autoSpaceDE w:val="0"/>
        <w:autoSpaceDN w:val="0"/>
        <w:adjustRightInd w:val="0"/>
        <w:spacing w:line="276" w:lineRule="auto"/>
        <w:jc w:val="both"/>
      </w:pPr>
      <w:r w:rsidRPr="00662E02">
        <w:t>The limited options available to councils to raise rates revenue are explored in this Rating Strategy. The method for collecting rates impacts the share of total rates revenue contributions received from each ratepayer. This is distinct from the total rates revenue collected by council, which is</w:t>
      </w:r>
      <w:r>
        <w:t xml:space="preserve"> set by Council’s annual budget within the State Government’s Fair Go Rating System.</w:t>
      </w:r>
    </w:p>
    <w:p w14:paraId="2BBE1FE0" w14:textId="77777777" w:rsidR="006B0C4A" w:rsidRPr="00662E02" w:rsidRDefault="006B0C4A" w:rsidP="006B0C4A">
      <w:pPr>
        <w:widowControl w:val="0"/>
        <w:autoSpaceDE w:val="0"/>
        <w:autoSpaceDN w:val="0"/>
        <w:adjustRightInd w:val="0"/>
        <w:spacing w:line="276" w:lineRule="auto"/>
        <w:jc w:val="both"/>
      </w:pPr>
      <w:r w:rsidRPr="00662E02">
        <w:t>The City of Port Phillip’s obligation is to ensure a fair (or ‘equitable’) distribution of the rates burden it imposes on the community. The Rating Strategy, together with other council policy initiatives, must consider the possibility that rates may become unaffordable for particular groups in the community.</w:t>
      </w:r>
    </w:p>
    <w:p w14:paraId="0B128A83" w14:textId="21F87BA9" w:rsidR="00662E02" w:rsidRPr="00662E02" w:rsidRDefault="00662E02" w:rsidP="00F16081">
      <w:pPr>
        <w:pStyle w:val="Heading2"/>
      </w:pPr>
      <w:bookmarkStart w:id="6" w:name="_Toc101366771"/>
      <w:bookmarkStart w:id="7" w:name="_Toc101366772"/>
      <w:bookmarkStart w:id="8" w:name="_Toc101366773"/>
      <w:bookmarkStart w:id="9" w:name="_Toc101366774"/>
      <w:bookmarkStart w:id="10" w:name="_Toc101366775"/>
      <w:bookmarkStart w:id="11" w:name="_Toc101366776"/>
      <w:bookmarkStart w:id="12" w:name="_Toc101366777"/>
      <w:bookmarkStart w:id="13" w:name="_Toc101366778"/>
      <w:bookmarkStart w:id="14" w:name="_Toc101366779"/>
      <w:bookmarkStart w:id="15" w:name="_Toc101366780"/>
      <w:bookmarkStart w:id="16" w:name="_Toc101366781"/>
      <w:bookmarkStart w:id="17" w:name="_Toc101366782"/>
      <w:bookmarkStart w:id="18" w:name="_Toc101366783"/>
      <w:bookmarkStart w:id="19" w:name="_Toc101366784"/>
      <w:bookmarkStart w:id="20" w:name="_Toc101366785"/>
      <w:bookmarkStart w:id="21" w:name="_Toc101366786"/>
      <w:bookmarkStart w:id="22" w:name="_Toc418778219"/>
      <w:bookmarkStart w:id="23" w:name="_Toc418778220"/>
      <w:bookmarkStart w:id="24" w:name="_Toc418778221"/>
      <w:bookmarkStart w:id="25" w:name="_Toc418778222"/>
      <w:bookmarkStart w:id="26" w:name="_Toc418778223"/>
      <w:bookmarkStart w:id="27" w:name="_Toc418778224"/>
      <w:bookmarkStart w:id="28" w:name="_Toc101366787"/>
      <w:bookmarkStart w:id="29" w:name="_Toc101366788"/>
      <w:bookmarkStart w:id="30" w:name="_Toc101366789"/>
      <w:bookmarkStart w:id="31" w:name="_Toc101366790"/>
      <w:bookmarkStart w:id="32" w:name="_Toc98857859"/>
      <w:bookmarkStart w:id="33" w:name="_Toc98857988"/>
      <w:bookmarkStart w:id="34" w:name="_Toc100693676"/>
      <w:bookmarkStart w:id="35" w:name="_Toc101366791"/>
      <w:bookmarkStart w:id="36" w:name="_Toc10136679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Calculation of rates</w:t>
      </w:r>
      <w:bookmarkEnd w:id="36"/>
    </w:p>
    <w:p w14:paraId="407A3896" w14:textId="59D0724E" w:rsidR="00662E02" w:rsidRPr="00662E02" w:rsidRDefault="00662E02" w:rsidP="003B14D3">
      <w:pPr>
        <w:widowControl w:val="0"/>
        <w:autoSpaceDE w:val="0"/>
        <w:autoSpaceDN w:val="0"/>
        <w:adjustRightInd w:val="0"/>
        <w:spacing w:line="276" w:lineRule="auto"/>
        <w:jc w:val="both"/>
      </w:pPr>
      <w:r>
        <w:t xml:space="preserve">Rates </w:t>
      </w:r>
      <w:r w:rsidRPr="00662E02">
        <w:t xml:space="preserve">are calculated using the total value of property in the municipality based on </w:t>
      </w:r>
      <w:r w:rsidR="00A11FA9">
        <w:t>the Annual</w:t>
      </w:r>
      <w:r w:rsidRPr="00662E02">
        <w:t xml:space="preserve"> General Valuation and the City of Port Phillip's annual budget requirements. </w:t>
      </w:r>
    </w:p>
    <w:p w14:paraId="7D73956E" w14:textId="77777777" w:rsidR="00A0418F" w:rsidRDefault="00A0418F" w:rsidP="00A0418F">
      <w:pPr>
        <w:widowControl w:val="0"/>
        <w:autoSpaceDE w:val="0"/>
        <w:autoSpaceDN w:val="0"/>
        <w:adjustRightInd w:val="0"/>
        <w:spacing w:line="276" w:lineRule="auto"/>
        <w:jc w:val="both"/>
      </w:pPr>
      <w:r w:rsidRPr="00662E02">
        <w:t xml:space="preserve">The City of Port Phillip determines how much revenue it needs to deliver its community services through its annual budget process. </w:t>
      </w:r>
      <w:r>
        <w:t>The rates revenue sources are separated into main items:</w:t>
      </w:r>
    </w:p>
    <w:p w14:paraId="563892F9" w14:textId="77777777" w:rsidR="00A0418F" w:rsidRPr="00E40E0F" w:rsidRDefault="00A0418F" w:rsidP="00A0418F">
      <w:pPr>
        <w:pStyle w:val="ListParagraph"/>
        <w:widowControl w:val="0"/>
        <w:numPr>
          <w:ilvl w:val="0"/>
          <w:numId w:val="25"/>
        </w:numPr>
        <w:autoSpaceDE w:val="0"/>
        <w:autoSpaceDN w:val="0"/>
        <w:adjustRightInd w:val="0"/>
        <w:spacing w:line="276" w:lineRule="auto"/>
        <w:jc w:val="both"/>
        <w:rPr>
          <w:b/>
          <w:bCs/>
        </w:rPr>
      </w:pPr>
      <w:r w:rsidRPr="00E40E0F">
        <w:rPr>
          <w:b/>
          <w:bCs/>
        </w:rPr>
        <w:t>General Rates</w:t>
      </w:r>
    </w:p>
    <w:p w14:paraId="536B3798" w14:textId="3C4E9495" w:rsidR="00A0418F" w:rsidRDefault="00A0418F" w:rsidP="00A0418F">
      <w:pPr>
        <w:widowControl w:val="0"/>
        <w:autoSpaceDE w:val="0"/>
        <w:autoSpaceDN w:val="0"/>
        <w:adjustRightInd w:val="0"/>
        <w:spacing w:line="276" w:lineRule="auto"/>
        <w:ind w:left="360"/>
        <w:jc w:val="both"/>
      </w:pPr>
      <w:r>
        <w:t xml:space="preserve">General Rates is a general revenue source to fund community services and assets. </w:t>
      </w:r>
      <w:r w:rsidR="007C17F7">
        <w:t>The general rates pie is determined as part of the Budget Process taking into consideration of the annual property valuation m</w:t>
      </w:r>
      <w:r w:rsidR="007C17F7" w:rsidRPr="0088565B">
        <w:t xml:space="preserve">ovements.  </w:t>
      </w:r>
      <w:r w:rsidRPr="0088565B">
        <w:t>General rates are separate</w:t>
      </w:r>
      <w:r w:rsidR="007C17F7" w:rsidRPr="0088565B">
        <w:t>d</w:t>
      </w:r>
      <w:r w:rsidRPr="0088565B">
        <w:t xml:space="preserve"> into three slices (property classes):</w:t>
      </w:r>
      <w:r>
        <w:t xml:space="preserve"> Residential, Commercial and </w:t>
      </w:r>
      <w:r w:rsidR="00442397">
        <w:t>Industrial</w:t>
      </w:r>
      <w:r>
        <w:t xml:space="preserve">. </w:t>
      </w:r>
    </w:p>
    <w:p w14:paraId="7766BBB8" w14:textId="089B26B4" w:rsidR="00F64298" w:rsidRDefault="00FB5190" w:rsidP="003F3103">
      <w:pPr>
        <w:widowControl w:val="0"/>
        <w:autoSpaceDE w:val="0"/>
        <w:autoSpaceDN w:val="0"/>
        <w:adjustRightInd w:val="0"/>
        <w:spacing w:line="276" w:lineRule="auto"/>
        <w:ind w:left="360"/>
        <w:jc w:val="both"/>
      </w:pPr>
      <w:r>
        <w:t>Each class of property will have a</w:t>
      </w:r>
      <w:r w:rsidR="00C11CB0">
        <w:t xml:space="preserve"> different</w:t>
      </w:r>
      <w:r>
        <w:t xml:space="preserve"> </w:t>
      </w:r>
      <w:r w:rsidR="00D075D9">
        <w:t>rate in the dollar</w:t>
      </w:r>
      <w:r w:rsidR="00C11CB0">
        <w:t>, commonly known as differential rating</w:t>
      </w:r>
      <w:r w:rsidR="007F3DD7">
        <w:t xml:space="preserve">.  This is calculated by </w:t>
      </w:r>
      <w:r w:rsidR="000B5727">
        <w:t xml:space="preserve">dividing the </w:t>
      </w:r>
      <w:r w:rsidR="003F3103">
        <w:t>general rates</w:t>
      </w:r>
      <w:r w:rsidR="00805ABF">
        <w:t xml:space="preserve"> revenue</w:t>
      </w:r>
      <w:r w:rsidR="003F3103">
        <w:t xml:space="preserve"> by </w:t>
      </w:r>
      <w:r w:rsidR="00A0418F" w:rsidRPr="00662E02">
        <w:t xml:space="preserve">municipality’s aggregate </w:t>
      </w:r>
      <w:r w:rsidR="00A0418F">
        <w:t>Capital Improved Value (CIV</w:t>
      </w:r>
      <w:r w:rsidR="00A0418F" w:rsidRPr="00662E02">
        <w:t>)</w:t>
      </w:r>
      <w:r w:rsidR="003F3103">
        <w:t xml:space="preserve"> for </w:t>
      </w:r>
      <w:r w:rsidR="00602740">
        <w:t>each property</w:t>
      </w:r>
      <w:r w:rsidR="003F3103">
        <w:t xml:space="preserve"> class</w:t>
      </w:r>
      <w:r w:rsidR="00A0418F">
        <w:t>.</w:t>
      </w:r>
      <w:r w:rsidR="00A0418F" w:rsidRPr="00662E02">
        <w:t xml:space="preserve"> This calculates a ‘rate in the dollar’ which is then applied to each individual property</w:t>
      </w:r>
      <w:r w:rsidR="00602740">
        <w:t xml:space="preserve"> value</w:t>
      </w:r>
      <w:r w:rsidR="00A0418F" w:rsidRPr="00662E02">
        <w:t>.</w:t>
      </w:r>
      <w:r w:rsidR="0086530B">
        <w:t xml:space="preserve"> </w:t>
      </w:r>
    </w:p>
    <w:p w14:paraId="3EA7FC30" w14:textId="77777777" w:rsidR="00786A0F" w:rsidRDefault="00786A0F">
      <w:pPr>
        <w:tabs>
          <w:tab w:val="clear" w:pos="-3060"/>
          <w:tab w:val="clear" w:pos="-2340"/>
          <w:tab w:val="clear" w:pos="6300"/>
        </w:tabs>
        <w:suppressAutoHyphens w:val="0"/>
        <w:spacing w:after="160" w:line="259" w:lineRule="auto"/>
      </w:pPr>
      <w:r>
        <w:br w:type="page"/>
      </w:r>
    </w:p>
    <w:p w14:paraId="6F6AEBBB" w14:textId="7D56D557" w:rsidR="00A0418F" w:rsidRDefault="0086530B">
      <w:pPr>
        <w:widowControl w:val="0"/>
        <w:autoSpaceDE w:val="0"/>
        <w:autoSpaceDN w:val="0"/>
        <w:adjustRightInd w:val="0"/>
        <w:spacing w:line="276" w:lineRule="auto"/>
        <w:ind w:left="360"/>
        <w:jc w:val="both"/>
      </w:pPr>
      <w:r>
        <w:t>The table below is example of how differential rates are calculated.</w:t>
      </w:r>
    </w:p>
    <w:tbl>
      <w:tblPr>
        <w:tblStyle w:val="TableGrid"/>
        <w:tblW w:w="0" w:type="auto"/>
        <w:tblInd w:w="360" w:type="dxa"/>
        <w:tblLook w:val="04A0" w:firstRow="1" w:lastRow="0" w:firstColumn="1" w:lastColumn="0" w:noHBand="0" w:noVBand="1"/>
      </w:tblPr>
      <w:tblGrid>
        <w:gridCol w:w="2045"/>
        <w:gridCol w:w="1630"/>
        <w:gridCol w:w="2024"/>
        <w:gridCol w:w="1747"/>
        <w:gridCol w:w="1822"/>
      </w:tblGrid>
      <w:tr w:rsidR="0052255B" w:rsidRPr="00397E25" w14:paraId="5C58B461" w14:textId="77777777" w:rsidTr="008B25A7">
        <w:trPr>
          <w:trHeight w:val="510"/>
        </w:trPr>
        <w:tc>
          <w:tcPr>
            <w:tcW w:w="2045" w:type="dxa"/>
            <w:shd w:val="clear" w:color="auto" w:fill="0090A3"/>
            <w:vAlign w:val="bottom"/>
          </w:tcPr>
          <w:p w14:paraId="20F06B59" w14:textId="4052709B" w:rsidR="0052255B" w:rsidRPr="008B25A7" w:rsidRDefault="0052255B" w:rsidP="008B25A7">
            <w:pPr>
              <w:widowControl w:val="0"/>
              <w:autoSpaceDE w:val="0"/>
              <w:autoSpaceDN w:val="0"/>
              <w:adjustRightInd w:val="0"/>
              <w:spacing w:after="0" w:line="276" w:lineRule="auto"/>
              <w:rPr>
                <w:b/>
                <w:bCs/>
                <w:color w:val="FFFFFF" w:themeColor="background1"/>
              </w:rPr>
            </w:pPr>
            <w:r w:rsidRPr="008B25A7">
              <w:rPr>
                <w:b/>
                <w:bCs/>
                <w:color w:val="FFFFFF" w:themeColor="background1"/>
              </w:rPr>
              <w:t>Property Class</w:t>
            </w:r>
          </w:p>
        </w:tc>
        <w:tc>
          <w:tcPr>
            <w:tcW w:w="1630" w:type="dxa"/>
            <w:shd w:val="clear" w:color="auto" w:fill="0090A3"/>
          </w:tcPr>
          <w:p w14:paraId="4C7E121B" w14:textId="77777777" w:rsidR="0052255B" w:rsidRPr="008B25A7" w:rsidRDefault="0052255B" w:rsidP="00A702E1">
            <w:pPr>
              <w:widowControl w:val="0"/>
              <w:autoSpaceDE w:val="0"/>
              <w:autoSpaceDN w:val="0"/>
              <w:adjustRightInd w:val="0"/>
              <w:spacing w:after="0" w:line="276" w:lineRule="auto"/>
              <w:jc w:val="center"/>
              <w:rPr>
                <w:b/>
                <w:bCs/>
                <w:color w:val="FFFFFF" w:themeColor="background1"/>
              </w:rPr>
            </w:pPr>
          </w:p>
          <w:p w14:paraId="4AF7EB8C" w14:textId="54191F6E" w:rsidR="0052255B" w:rsidRPr="008B25A7" w:rsidRDefault="0052255B" w:rsidP="00A702E1">
            <w:pPr>
              <w:widowControl w:val="0"/>
              <w:autoSpaceDE w:val="0"/>
              <w:autoSpaceDN w:val="0"/>
              <w:adjustRightInd w:val="0"/>
              <w:spacing w:after="0" w:line="276" w:lineRule="auto"/>
              <w:jc w:val="center"/>
              <w:rPr>
                <w:b/>
                <w:bCs/>
                <w:color w:val="FFFFFF" w:themeColor="background1"/>
              </w:rPr>
            </w:pPr>
            <w:r w:rsidRPr="008B25A7">
              <w:rPr>
                <w:b/>
                <w:bCs/>
                <w:color w:val="FFFFFF" w:themeColor="background1"/>
              </w:rPr>
              <w:t xml:space="preserve">General rates </w:t>
            </w:r>
            <w:r w:rsidR="00210C37" w:rsidRPr="008B25A7">
              <w:rPr>
                <w:b/>
                <w:bCs/>
                <w:color w:val="FFFFFF" w:themeColor="background1"/>
              </w:rPr>
              <w:t>pie slice</w:t>
            </w:r>
          </w:p>
        </w:tc>
        <w:tc>
          <w:tcPr>
            <w:tcW w:w="2024" w:type="dxa"/>
            <w:shd w:val="clear" w:color="auto" w:fill="0090A3"/>
            <w:vAlign w:val="bottom"/>
          </w:tcPr>
          <w:p w14:paraId="42530235" w14:textId="00865E18" w:rsidR="0052255B" w:rsidRPr="008B25A7" w:rsidRDefault="0052255B" w:rsidP="008B25A7">
            <w:pPr>
              <w:widowControl w:val="0"/>
              <w:autoSpaceDE w:val="0"/>
              <w:autoSpaceDN w:val="0"/>
              <w:adjustRightInd w:val="0"/>
              <w:spacing w:after="0" w:line="276" w:lineRule="auto"/>
              <w:jc w:val="center"/>
              <w:rPr>
                <w:b/>
                <w:bCs/>
                <w:color w:val="FFFFFF" w:themeColor="background1"/>
              </w:rPr>
            </w:pPr>
            <w:r w:rsidRPr="008B25A7">
              <w:rPr>
                <w:b/>
                <w:bCs/>
                <w:color w:val="FFFFFF" w:themeColor="background1"/>
              </w:rPr>
              <w:t>General rates revenue (</w:t>
            </w:r>
            <w:r w:rsidR="007C4E46">
              <w:rPr>
                <w:b/>
                <w:bCs/>
                <w:color w:val="FFFFFF" w:themeColor="background1"/>
              </w:rPr>
              <w:t>A</w:t>
            </w:r>
            <w:r w:rsidRPr="008B25A7">
              <w:rPr>
                <w:b/>
                <w:bCs/>
                <w:color w:val="FFFFFF" w:themeColor="background1"/>
              </w:rPr>
              <w:t>)</w:t>
            </w:r>
          </w:p>
        </w:tc>
        <w:tc>
          <w:tcPr>
            <w:tcW w:w="1747" w:type="dxa"/>
            <w:shd w:val="clear" w:color="auto" w:fill="0090A3"/>
            <w:vAlign w:val="bottom"/>
          </w:tcPr>
          <w:p w14:paraId="05889309" w14:textId="1B4A4D09" w:rsidR="0052255B" w:rsidRPr="008B25A7" w:rsidRDefault="0052255B" w:rsidP="008B25A7">
            <w:pPr>
              <w:widowControl w:val="0"/>
              <w:autoSpaceDE w:val="0"/>
              <w:autoSpaceDN w:val="0"/>
              <w:adjustRightInd w:val="0"/>
              <w:spacing w:after="0" w:line="276" w:lineRule="auto"/>
              <w:jc w:val="center"/>
              <w:rPr>
                <w:b/>
                <w:bCs/>
                <w:color w:val="FFFFFF" w:themeColor="background1"/>
              </w:rPr>
            </w:pPr>
            <w:r w:rsidRPr="008B25A7">
              <w:rPr>
                <w:b/>
                <w:bCs/>
                <w:color w:val="FFFFFF" w:themeColor="background1"/>
              </w:rPr>
              <w:t>CIV (</w:t>
            </w:r>
            <w:r w:rsidR="007C4E46">
              <w:rPr>
                <w:b/>
                <w:bCs/>
                <w:color w:val="FFFFFF" w:themeColor="background1"/>
              </w:rPr>
              <w:t>B</w:t>
            </w:r>
            <w:r w:rsidRPr="008B25A7">
              <w:rPr>
                <w:b/>
                <w:bCs/>
                <w:color w:val="FFFFFF" w:themeColor="background1"/>
              </w:rPr>
              <w:t>)</w:t>
            </w:r>
          </w:p>
        </w:tc>
        <w:tc>
          <w:tcPr>
            <w:tcW w:w="1822" w:type="dxa"/>
            <w:shd w:val="clear" w:color="auto" w:fill="0090A3"/>
            <w:vAlign w:val="bottom"/>
          </w:tcPr>
          <w:p w14:paraId="6AEF9841" w14:textId="746005DE" w:rsidR="0052255B" w:rsidRPr="008B25A7" w:rsidRDefault="0052255B" w:rsidP="008B25A7">
            <w:pPr>
              <w:widowControl w:val="0"/>
              <w:autoSpaceDE w:val="0"/>
              <w:autoSpaceDN w:val="0"/>
              <w:adjustRightInd w:val="0"/>
              <w:spacing w:after="0" w:line="276" w:lineRule="auto"/>
              <w:jc w:val="center"/>
              <w:rPr>
                <w:b/>
                <w:bCs/>
                <w:color w:val="FFFFFF" w:themeColor="background1"/>
              </w:rPr>
            </w:pPr>
            <w:r w:rsidRPr="008B25A7">
              <w:rPr>
                <w:b/>
                <w:bCs/>
                <w:color w:val="FFFFFF" w:themeColor="background1"/>
              </w:rPr>
              <w:t>Rate in the dollar</w:t>
            </w:r>
          </w:p>
          <w:p w14:paraId="637D6356" w14:textId="62C8D594" w:rsidR="0052255B" w:rsidRPr="008B25A7" w:rsidRDefault="0052255B" w:rsidP="008B25A7">
            <w:pPr>
              <w:widowControl w:val="0"/>
              <w:autoSpaceDE w:val="0"/>
              <w:autoSpaceDN w:val="0"/>
              <w:adjustRightInd w:val="0"/>
              <w:spacing w:after="0" w:line="276" w:lineRule="auto"/>
              <w:jc w:val="center"/>
              <w:rPr>
                <w:b/>
                <w:bCs/>
                <w:color w:val="FFFFFF" w:themeColor="background1"/>
              </w:rPr>
            </w:pPr>
            <w:r w:rsidRPr="008B25A7">
              <w:rPr>
                <w:b/>
                <w:bCs/>
                <w:color w:val="FFFFFF" w:themeColor="background1"/>
              </w:rPr>
              <w:t>(</w:t>
            </w:r>
            <w:r w:rsidR="007C4E46">
              <w:rPr>
                <w:b/>
                <w:bCs/>
                <w:color w:val="FFFFFF" w:themeColor="background1"/>
              </w:rPr>
              <w:t>C</w:t>
            </w:r>
            <w:r w:rsidRPr="008B25A7">
              <w:rPr>
                <w:b/>
                <w:bCs/>
                <w:color w:val="FFFFFF" w:themeColor="background1"/>
              </w:rPr>
              <w:t xml:space="preserve"> = </w:t>
            </w:r>
            <w:r w:rsidR="00CC6814" w:rsidRPr="008B25A7">
              <w:rPr>
                <w:b/>
                <w:bCs/>
                <w:color w:val="FFFFFF" w:themeColor="background1"/>
              </w:rPr>
              <w:t xml:space="preserve"> </w:t>
            </w:r>
            <w:r w:rsidR="007C4E46">
              <w:rPr>
                <w:b/>
                <w:bCs/>
                <w:color w:val="FFFFFF" w:themeColor="background1"/>
              </w:rPr>
              <w:t>A</w:t>
            </w:r>
            <w:r w:rsidRPr="008B25A7">
              <w:rPr>
                <w:b/>
                <w:bCs/>
                <w:color w:val="FFFFFF" w:themeColor="background1"/>
              </w:rPr>
              <w:t xml:space="preserve">  ÷  </w:t>
            </w:r>
            <w:r w:rsidR="007C4E46">
              <w:rPr>
                <w:b/>
                <w:bCs/>
                <w:color w:val="FFFFFF" w:themeColor="background1"/>
              </w:rPr>
              <w:t>B</w:t>
            </w:r>
            <w:r w:rsidRPr="008B25A7">
              <w:rPr>
                <w:b/>
                <w:bCs/>
                <w:color w:val="FFFFFF" w:themeColor="background1"/>
              </w:rPr>
              <w:t>)</w:t>
            </w:r>
          </w:p>
        </w:tc>
      </w:tr>
      <w:tr w:rsidR="0052255B" w14:paraId="5C992412" w14:textId="77777777" w:rsidTr="008B25A7">
        <w:tc>
          <w:tcPr>
            <w:tcW w:w="2045" w:type="dxa"/>
          </w:tcPr>
          <w:p w14:paraId="520CDAC8" w14:textId="1211F7C2" w:rsidR="0052255B" w:rsidRDefault="0052255B" w:rsidP="00A35EA3">
            <w:pPr>
              <w:widowControl w:val="0"/>
              <w:autoSpaceDE w:val="0"/>
              <w:autoSpaceDN w:val="0"/>
              <w:adjustRightInd w:val="0"/>
              <w:spacing w:line="276" w:lineRule="auto"/>
              <w:jc w:val="both"/>
            </w:pPr>
            <w:r>
              <w:t>Commercial</w:t>
            </w:r>
          </w:p>
        </w:tc>
        <w:tc>
          <w:tcPr>
            <w:tcW w:w="1630" w:type="dxa"/>
          </w:tcPr>
          <w:p w14:paraId="16E102A2" w14:textId="72B2659D" w:rsidR="0052255B" w:rsidRDefault="00210C37" w:rsidP="00224ED8">
            <w:pPr>
              <w:widowControl w:val="0"/>
              <w:autoSpaceDE w:val="0"/>
              <w:autoSpaceDN w:val="0"/>
              <w:adjustRightInd w:val="0"/>
              <w:spacing w:line="276" w:lineRule="auto"/>
              <w:jc w:val="center"/>
            </w:pPr>
            <w:r>
              <w:t>14.50%</w:t>
            </w:r>
          </w:p>
        </w:tc>
        <w:tc>
          <w:tcPr>
            <w:tcW w:w="2024" w:type="dxa"/>
          </w:tcPr>
          <w:p w14:paraId="523219ED" w14:textId="4B0195EA" w:rsidR="0052255B" w:rsidRDefault="0052255B" w:rsidP="008B25A7">
            <w:pPr>
              <w:widowControl w:val="0"/>
              <w:autoSpaceDE w:val="0"/>
              <w:autoSpaceDN w:val="0"/>
              <w:adjustRightInd w:val="0"/>
              <w:spacing w:line="276" w:lineRule="auto"/>
              <w:jc w:val="center"/>
            </w:pPr>
            <w:r>
              <w:t>$18,189,380</w:t>
            </w:r>
          </w:p>
        </w:tc>
        <w:tc>
          <w:tcPr>
            <w:tcW w:w="1747" w:type="dxa"/>
          </w:tcPr>
          <w:p w14:paraId="671968D2" w14:textId="2F61B6CE" w:rsidR="0052255B" w:rsidRDefault="00DA2D53" w:rsidP="008B25A7">
            <w:pPr>
              <w:widowControl w:val="0"/>
              <w:autoSpaceDE w:val="0"/>
              <w:autoSpaceDN w:val="0"/>
              <w:adjustRightInd w:val="0"/>
              <w:spacing w:line="276" w:lineRule="auto"/>
              <w:jc w:val="center"/>
            </w:pPr>
            <w:r>
              <w:t>8,575,920,675</w:t>
            </w:r>
          </w:p>
        </w:tc>
        <w:tc>
          <w:tcPr>
            <w:tcW w:w="1822" w:type="dxa"/>
          </w:tcPr>
          <w:p w14:paraId="54D72451" w14:textId="43E597E7" w:rsidR="0052255B" w:rsidRDefault="00245F4D" w:rsidP="008B25A7">
            <w:pPr>
              <w:widowControl w:val="0"/>
              <w:autoSpaceDE w:val="0"/>
              <w:autoSpaceDN w:val="0"/>
              <w:adjustRightInd w:val="0"/>
              <w:spacing w:line="276" w:lineRule="auto"/>
              <w:jc w:val="center"/>
            </w:pPr>
            <w:r>
              <w:t>0.00</w:t>
            </w:r>
            <w:r w:rsidR="00DC366F">
              <w:t>2</w:t>
            </w:r>
            <w:r>
              <w:t>121</w:t>
            </w:r>
          </w:p>
        </w:tc>
      </w:tr>
      <w:tr w:rsidR="0052255B" w14:paraId="7C3A7A79" w14:textId="77777777" w:rsidTr="008B25A7">
        <w:tc>
          <w:tcPr>
            <w:tcW w:w="2045" w:type="dxa"/>
          </w:tcPr>
          <w:p w14:paraId="7A09AEE9" w14:textId="6CA9B8ED" w:rsidR="0052255B" w:rsidRDefault="0052255B" w:rsidP="00A35EA3">
            <w:pPr>
              <w:widowControl w:val="0"/>
              <w:autoSpaceDE w:val="0"/>
              <w:autoSpaceDN w:val="0"/>
              <w:adjustRightInd w:val="0"/>
              <w:spacing w:line="276" w:lineRule="auto"/>
              <w:jc w:val="both"/>
            </w:pPr>
            <w:r>
              <w:t>Industrial</w:t>
            </w:r>
          </w:p>
        </w:tc>
        <w:tc>
          <w:tcPr>
            <w:tcW w:w="1630" w:type="dxa"/>
          </w:tcPr>
          <w:p w14:paraId="6A2BCF78" w14:textId="4223CE69" w:rsidR="0052255B" w:rsidRDefault="00210C37" w:rsidP="00224ED8">
            <w:pPr>
              <w:widowControl w:val="0"/>
              <w:autoSpaceDE w:val="0"/>
              <w:autoSpaceDN w:val="0"/>
              <w:adjustRightInd w:val="0"/>
              <w:spacing w:line="276" w:lineRule="auto"/>
              <w:jc w:val="center"/>
            </w:pPr>
            <w:r>
              <w:t>3.50%</w:t>
            </w:r>
          </w:p>
        </w:tc>
        <w:tc>
          <w:tcPr>
            <w:tcW w:w="2024" w:type="dxa"/>
          </w:tcPr>
          <w:p w14:paraId="608821D2" w14:textId="5DF2DAE4" w:rsidR="0052255B" w:rsidRDefault="00424A90" w:rsidP="008B25A7">
            <w:pPr>
              <w:widowControl w:val="0"/>
              <w:autoSpaceDE w:val="0"/>
              <w:autoSpaceDN w:val="0"/>
              <w:adjustRightInd w:val="0"/>
              <w:spacing w:line="276" w:lineRule="auto"/>
              <w:jc w:val="center"/>
            </w:pPr>
            <w:r>
              <w:t>$</w:t>
            </w:r>
            <w:r w:rsidR="00DA2D53">
              <w:t>4,390,540</w:t>
            </w:r>
          </w:p>
        </w:tc>
        <w:tc>
          <w:tcPr>
            <w:tcW w:w="1747" w:type="dxa"/>
          </w:tcPr>
          <w:p w14:paraId="618654D2" w14:textId="17BADAB2" w:rsidR="0052255B" w:rsidRDefault="00DA2D53" w:rsidP="008B25A7">
            <w:pPr>
              <w:widowControl w:val="0"/>
              <w:autoSpaceDE w:val="0"/>
              <w:autoSpaceDN w:val="0"/>
              <w:adjustRightInd w:val="0"/>
              <w:spacing w:line="276" w:lineRule="auto"/>
              <w:jc w:val="center"/>
            </w:pPr>
            <w:r>
              <w:t>2,138,293,000</w:t>
            </w:r>
          </w:p>
        </w:tc>
        <w:tc>
          <w:tcPr>
            <w:tcW w:w="1822" w:type="dxa"/>
          </w:tcPr>
          <w:p w14:paraId="7970ECD4" w14:textId="2DE9E799" w:rsidR="0052255B" w:rsidRDefault="00245F4D" w:rsidP="008B25A7">
            <w:pPr>
              <w:widowControl w:val="0"/>
              <w:autoSpaceDE w:val="0"/>
              <w:autoSpaceDN w:val="0"/>
              <w:adjustRightInd w:val="0"/>
              <w:spacing w:line="276" w:lineRule="auto"/>
              <w:jc w:val="center"/>
            </w:pPr>
            <w:r>
              <w:t>0.00</w:t>
            </w:r>
            <w:r w:rsidR="00FB5190">
              <w:t>2053</w:t>
            </w:r>
          </w:p>
        </w:tc>
      </w:tr>
      <w:tr w:rsidR="0052255B" w14:paraId="787457D6" w14:textId="77777777" w:rsidTr="008B25A7">
        <w:tc>
          <w:tcPr>
            <w:tcW w:w="2045" w:type="dxa"/>
          </w:tcPr>
          <w:p w14:paraId="6A795EBA" w14:textId="1330A154" w:rsidR="0052255B" w:rsidRDefault="0052255B" w:rsidP="00A35EA3">
            <w:pPr>
              <w:widowControl w:val="0"/>
              <w:autoSpaceDE w:val="0"/>
              <w:autoSpaceDN w:val="0"/>
              <w:adjustRightInd w:val="0"/>
              <w:spacing w:line="276" w:lineRule="auto"/>
              <w:jc w:val="both"/>
            </w:pPr>
            <w:r>
              <w:t>Residential</w:t>
            </w:r>
          </w:p>
        </w:tc>
        <w:tc>
          <w:tcPr>
            <w:tcW w:w="1630" w:type="dxa"/>
          </w:tcPr>
          <w:p w14:paraId="6460E6C3" w14:textId="40F11F36" w:rsidR="0052255B" w:rsidRDefault="00210C37" w:rsidP="00224ED8">
            <w:pPr>
              <w:widowControl w:val="0"/>
              <w:autoSpaceDE w:val="0"/>
              <w:autoSpaceDN w:val="0"/>
              <w:adjustRightInd w:val="0"/>
              <w:spacing w:line="276" w:lineRule="auto"/>
              <w:jc w:val="center"/>
            </w:pPr>
            <w:r>
              <w:t>82.00%</w:t>
            </w:r>
          </w:p>
        </w:tc>
        <w:tc>
          <w:tcPr>
            <w:tcW w:w="2024" w:type="dxa"/>
          </w:tcPr>
          <w:p w14:paraId="4D33FFA1" w14:textId="5D158BDB" w:rsidR="0052255B" w:rsidRDefault="00DA2D53" w:rsidP="008B25A7">
            <w:pPr>
              <w:widowControl w:val="0"/>
              <w:autoSpaceDE w:val="0"/>
              <w:autoSpaceDN w:val="0"/>
              <w:adjustRightInd w:val="0"/>
              <w:spacing w:line="276" w:lineRule="auto"/>
              <w:jc w:val="center"/>
            </w:pPr>
            <w:r>
              <w:t>$102,864,080</w:t>
            </w:r>
          </w:p>
        </w:tc>
        <w:tc>
          <w:tcPr>
            <w:tcW w:w="1747" w:type="dxa"/>
          </w:tcPr>
          <w:p w14:paraId="5EE29934" w14:textId="0C4FCE09" w:rsidR="0052255B" w:rsidRDefault="00DC366F" w:rsidP="008B25A7">
            <w:pPr>
              <w:widowControl w:val="0"/>
              <w:autoSpaceDE w:val="0"/>
              <w:autoSpaceDN w:val="0"/>
              <w:adjustRightInd w:val="0"/>
              <w:spacing w:line="276" w:lineRule="auto"/>
              <w:jc w:val="center"/>
            </w:pPr>
            <w:r>
              <w:t>58,116,677,000</w:t>
            </w:r>
          </w:p>
        </w:tc>
        <w:tc>
          <w:tcPr>
            <w:tcW w:w="1822" w:type="dxa"/>
          </w:tcPr>
          <w:p w14:paraId="361C584D" w14:textId="04C1FC9B" w:rsidR="0052255B" w:rsidRDefault="00FB5190" w:rsidP="008B25A7">
            <w:pPr>
              <w:widowControl w:val="0"/>
              <w:autoSpaceDE w:val="0"/>
              <w:autoSpaceDN w:val="0"/>
              <w:adjustRightInd w:val="0"/>
              <w:spacing w:line="276" w:lineRule="auto"/>
              <w:jc w:val="center"/>
            </w:pPr>
            <w:r>
              <w:t>0.00177</w:t>
            </w:r>
            <w:r w:rsidR="00D50276">
              <w:t>0</w:t>
            </w:r>
          </w:p>
        </w:tc>
      </w:tr>
      <w:tr w:rsidR="0052255B" w:rsidRPr="00210C37" w14:paraId="12022ABB" w14:textId="77777777" w:rsidTr="008B25A7">
        <w:tc>
          <w:tcPr>
            <w:tcW w:w="2045" w:type="dxa"/>
          </w:tcPr>
          <w:p w14:paraId="225AB317" w14:textId="3C336E4D" w:rsidR="0052255B" w:rsidRPr="008B25A7" w:rsidRDefault="0052255B" w:rsidP="00A35EA3">
            <w:pPr>
              <w:widowControl w:val="0"/>
              <w:autoSpaceDE w:val="0"/>
              <w:autoSpaceDN w:val="0"/>
              <w:adjustRightInd w:val="0"/>
              <w:spacing w:line="276" w:lineRule="auto"/>
              <w:jc w:val="both"/>
              <w:rPr>
                <w:b/>
                <w:bCs/>
              </w:rPr>
            </w:pPr>
            <w:r w:rsidRPr="008B25A7">
              <w:rPr>
                <w:b/>
                <w:bCs/>
              </w:rPr>
              <w:t>Total</w:t>
            </w:r>
          </w:p>
        </w:tc>
        <w:tc>
          <w:tcPr>
            <w:tcW w:w="1630" w:type="dxa"/>
          </w:tcPr>
          <w:p w14:paraId="571B0B92" w14:textId="6E771674" w:rsidR="0052255B" w:rsidRPr="008B25A7" w:rsidRDefault="00210C37" w:rsidP="00224ED8">
            <w:pPr>
              <w:widowControl w:val="0"/>
              <w:autoSpaceDE w:val="0"/>
              <w:autoSpaceDN w:val="0"/>
              <w:adjustRightInd w:val="0"/>
              <w:spacing w:line="276" w:lineRule="auto"/>
              <w:jc w:val="center"/>
              <w:rPr>
                <w:b/>
                <w:bCs/>
              </w:rPr>
            </w:pPr>
            <w:r w:rsidRPr="008B25A7">
              <w:rPr>
                <w:b/>
                <w:bCs/>
              </w:rPr>
              <w:t>100%</w:t>
            </w:r>
          </w:p>
        </w:tc>
        <w:tc>
          <w:tcPr>
            <w:tcW w:w="2024" w:type="dxa"/>
          </w:tcPr>
          <w:p w14:paraId="0C95470F" w14:textId="56290176" w:rsidR="0052255B" w:rsidRPr="008B25A7" w:rsidRDefault="00DA2D53" w:rsidP="008B25A7">
            <w:pPr>
              <w:widowControl w:val="0"/>
              <w:autoSpaceDE w:val="0"/>
              <w:autoSpaceDN w:val="0"/>
              <w:adjustRightInd w:val="0"/>
              <w:spacing w:line="276" w:lineRule="auto"/>
              <w:jc w:val="center"/>
              <w:rPr>
                <w:b/>
                <w:bCs/>
              </w:rPr>
            </w:pPr>
            <w:r>
              <w:rPr>
                <w:b/>
                <w:bCs/>
              </w:rPr>
              <w:t>$125,444,000</w:t>
            </w:r>
          </w:p>
        </w:tc>
        <w:tc>
          <w:tcPr>
            <w:tcW w:w="1747" w:type="dxa"/>
          </w:tcPr>
          <w:p w14:paraId="55D3CBC9" w14:textId="71BB5952" w:rsidR="0052255B" w:rsidRPr="008B25A7" w:rsidRDefault="00DC366F" w:rsidP="008B25A7">
            <w:pPr>
              <w:widowControl w:val="0"/>
              <w:autoSpaceDE w:val="0"/>
              <w:autoSpaceDN w:val="0"/>
              <w:adjustRightInd w:val="0"/>
              <w:spacing w:line="276" w:lineRule="auto"/>
              <w:jc w:val="center"/>
              <w:rPr>
                <w:b/>
                <w:bCs/>
              </w:rPr>
            </w:pPr>
            <w:r>
              <w:rPr>
                <w:b/>
                <w:bCs/>
              </w:rPr>
              <w:t>68,830,890,675</w:t>
            </w:r>
          </w:p>
        </w:tc>
        <w:tc>
          <w:tcPr>
            <w:tcW w:w="1822" w:type="dxa"/>
          </w:tcPr>
          <w:p w14:paraId="393DC6D8" w14:textId="77777777" w:rsidR="0052255B" w:rsidRPr="008B25A7" w:rsidRDefault="0052255B" w:rsidP="008B25A7">
            <w:pPr>
              <w:widowControl w:val="0"/>
              <w:autoSpaceDE w:val="0"/>
              <w:autoSpaceDN w:val="0"/>
              <w:adjustRightInd w:val="0"/>
              <w:spacing w:line="276" w:lineRule="auto"/>
              <w:jc w:val="center"/>
              <w:rPr>
                <w:b/>
                <w:bCs/>
              </w:rPr>
            </w:pPr>
          </w:p>
        </w:tc>
      </w:tr>
    </w:tbl>
    <w:p w14:paraId="61AB0D5A" w14:textId="77777777" w:rsidR="0086530B" w:rsidRDefault="0086530B" w:rsidP="00A0418F">
      <w:pPr>
        <w:widowControl w:val="0"/>
        <w:autoSpaceDE w:val="0"/>
        <w:autoSpaceDN w:val="0"/>
        <w:adjustRightInd w:val="0"/>
        <w:spacing w:line="276" w:lineRule="auto"/>
        <w:ind w:left="360"/>
        <w:jc w:val="both"/>
      </w:pPr>
    </w:p>
    <w:p w14:paraId="63D127EC" w14:textId="1D3990F5" w:rsidR="00A029B0" w:rsidRDefault="00A0418F">
      <w:pPr>
        <w:widowControl w:val="0"/>
        <w:autoSpaceDE w:val="0"/>
        <w:autoSpaceDN w:val="0"/>
        <w:adjustRightInd w:val="0"/>
        <w:spacing w:line="276" w:lineRule="auto"/>
        <w:ind w:left="360"/>
        <w:jc w:val="both"/>
      </w:pPr>
      <w:r w:rsidRPr="00662E02">
        <w:t xml:space="preserve">It is important to note that councils do not receive a windfall gain when property values increase after undertaking a General Valuation. </w:t>
      </w:r>
      <w:r w:rsidR="00B34C88">
        <w:t>Property r</w:t>
      </w:r>
      <w:r w:rsidRPr="00662E02">
        <w:t xml:space="preserve">evaluations </w:t>
      </w:r>
      <w:r w:rsidR="00B34C88">
        <w:t xml:space="preserve">will generally </w:t>
      </w:r>
      <w:r w:rsidRPr="00662E02">
        <w:t>result in a redistribution of the rate burden across all properties in the municipality. Any increase to total valuations of the municipality is offset by a reduction to the rate in dollar</w:t>
      </w:r>
      <w:r>
        <w:t xml:space="preserve"> </w:t>
      </w:r>
      <w:r w:rsidRPr="00662E02">
        <w:t>used to calculate the rate for each property. Total</w:t>
      </w:r>
      <w:r w:rsidR="00000D01">
        <w:t xml:space="preserve"> General Rates</w:t>
      </w:r>
      <w:r w:rsidRPr="00662E02">
        <w:t xml:space="preserve"> income is </w:t>
      </w:r>
      <w:r w:rsidR="00A04589">
        <w:t xml:space="preserve">determined </w:t>
      </w:r>
      <w:r w:rsidRPr="00662E02">
        <w:t>each year as par</w:t>
      </w:r>
      <w:r>
        <w:t>t of the council budget process and restricted by the Rates Capping Framework.</w:t>
      </w:r>
    </w:p>
    <w:p w14:paraId="6E469787" w14:textId="4FE46AFE" w:rsidR="00A0418F" w:rsidRDefault="00A0418F" w:rsidP="00A0418F">
      <w:pPr>
        <w:pStyle w:val="ListParagraph"/>
        <w:widowControl w:val="0"/>
        <w:numPr>
          <w:ilvl w:val="0"/>
          <w:numId w:val="25"/>
        </w:numPr>
        <w:autoSpaceDE w:val="0"/>
        <w:autoSpaceDN w:val="0"/>
        <w:adjustRightInd w:val="0"/>
        <w:spacing w:line="276" w:lineRule="auto"/>
        <w:jc w:val="both"/>
        <w:rPr>
          <w:b/>
          <w:bCs/>
        </w:rPr>
      </w:pPr>
      <w:r w:rsidRPr="00E40E0F">
        <w:rPr>
          <w:b/>
          <w:bCs/>
        </w:rPr>
        <w:t>Waste Charge</w:t>
      </w:r>
      <w:r w:rsidR="00407AA8">
        <w:rPr>
          <w:b/>
          <w:bCs/>
        </w:rPr>
        <w:t>s</w:t>
      </w:r>
    </w:p>
    <w:p w14:paraId="7A007CDA" w14:textId="7CD588AA" w:rsidR="006E3D51" w:rsidRDefault="004A29DB">
      <w:pPr>
        <w:widowControl w:val="0"/>
        <w:autoSpaceDE w:val="0"/>
        <w:autoSpaceDN w:val="0"/>
        <w:adjustRightInd w:val="0"/>
        <w:spacing w:line="276" w:lineRule="auto"/>
        <w:ind w:left="360"/>
        <w:jc w:val="both"/>
      </w:pPr>
      <w:r>
        <w:t xml:space="preserve">In 2022/23, Council </w:t>
      </w:r>
      <w:r w:rsidR="007C38C7">
        <w:t xml:space="preserve">proposes to </w:t>
      </w:r>
      <w:r w:rsidR="00F6092E">
        <w:t xml:space="preserve">introduce </w:t>
      </w:r>
      <w:r w:rsidR="005B0B52">
        <w:t xml:space="preserve">Waste </w:t>
      </w:r>
      <w:r w:rsidR="007C38C7">
        <w:t>C</w:t>
      </w:r>
      <w:r w:rsidR="005B0B52">
        <w:t xml:space="preserve">harges </w:t>
      </w:r>
      <w:r w:rsidR="00F6092E">
        <w:t xml:space="preserve">separated from the General Rates Revenue.  </w:t>
      </w:r>
      <w:r w:rsidR="00FE1798">
        <w:t>It recovers the cost of waste services relating to</w:t>
      </w:r>
      <w:r w:rsidR="001A35FE">
        <w:t xml:space="preserve"> p</w:t>
      </w:r>
      <w:r w:rsidR="0030531D">
        <w:t xml:space="preserve">rivate </w:t>
      </w:r>
      <w:r w:rsidR="001A35FE">
        <w:t>b</w:t>
      </w:r>
      <w:r w:rsidR="0030531D">
        <w:t>enefits</w:t>
      </w:r>
      <w:r w:rsidR="001A35FE">
        <w:t xml:space="preserve"> and or </w:t>
      </w:r>
      <w:r w:rsidR="00DD06D2">
        <w:t>d</w:t>
      </w:r>
      <w:r w:rsidR="0030531D">
        <w:t xml:space="preserve">irect </w:t>
      </w:r>
      <w:r w:rsidR="00DD06D2">
        <w:t>waste s</w:t>
      </w:r>
      <w:r w:rsidR="0030531D">
        <w:t>ervices</w:t>
      </w:r>
      <w:r w:rsidR="00DD06D2">
        <w:t xml:space="preserve">. This includes </w:t>
      </w:r>
      <w:r w:rsidR="007F196C">
        <w:t>kerbside bin collections,</w:t>
      </w:r>
      <w:r w:rsidR="008E6185">
        <w:t xml:space="preserve"> communal Food Organic Garden Organic, Hard Waste, and Resource Recovery Centre Operations.  </w:t>
      </w:r>
      <w:r w:rsidR="003D59E7">
        <w:t xml:space="preserve">The fees are set to recover these covers to all rateable properties.  </w:t>
      </w:r>
    </w:p>
    <w:p w14:paraId="7DF989D9" w14:textId="00FDC0A3" w:rsidR="000B0FE9" w:rsidRDefault="00EB5D7F" w:rsidP="008B25A7">
      <w:pPr>
        <w:widowControl w:val="0"/>
        <w:autoSpaceDE w:val="0"/>
        <w:autoSpaceDN w:val="0"/>
        <w:adjustRightInd w:val="0"/>
        <w:spacing w:line="276" w:lineRule="auto"/>
        <w:ind w:left="360"/>
        <w:jc w:val="both"/>
      </w:pPr>
      <w:r>
        <w:t xml:space="preserve">The </w:t>
      </w:r>
      <w:r w:rsidR="007E2147">
        <w:t>de</w:t>
      </w:r>
      <w:r w:rsidR="005C5DDF">
        <w:t>f</w:t>
      </w:r>
      <w:r w:rsidR="007E2147">
        <w:t xml:space="preserve">ault waste charge is calculated by dividing the </w:t>
      </w:r>
      <w:r w:rsidR="004A50C1">
        <w:t xml:space="preserve">total net cost </w:t>
      </w:r>
      <w:r w:rsidR="007E2147">
        <w:t>over all rateable assessments.  Some concessions, rebates and charges</w:t>
      </w:r>
      <w:r w:rsidR="00647E9A">
        <w:t xml:space="preserve"> for non-default bins</w:t>
      </w:r>
      <w:r w:rsidR="007E2147">
        <w:t xml:space="preserve"> </w:t>
      </w:r>
      <w:r w:rsidR="00647E9A">
        <w:t>may apply.</w:t>
      </w:r>
      <w:bookmarkStart w:id="37" w:name="_Toc98774759"/>
      <w:bookmarkStart w:id="38" w:name="_Toc98852862"/>
      <w:bookmarkStart w:id="39" w:name="_Toc98857861"/>
      <w:bookmarkStart w:id="40" w:name="_Toc98857990"/>
      <w:bookmarkStart w:id="41" w:name="_Toc100693678"/>
      <w:bookmarkStart w:id="42" w:name="_Toc98774760"/>
      <w:bookmarkStart w:id="43" w:name="_Toc98852863"/>
      <w:bookmarkStart w:id="44" w:name="_Toc98857862"/>
      <w:bookmarkStart w:id="45" w:name="_Toc98857991"/>
      <w:bookmarkStart w:id="46" w:name="_Toc100693679"/>
      <w:bookmarkStart w:id="47" w:name="_Toc98774761"/>
      <w:bookmarkStart w:id="48" w:name="_Toc98852864"/>
      <w:bookmarkStart w:id="49" w:name="_Toc98857863"/>
      <w:bookmarkStart w:id="50" w:name="_Toc98857992"/>
      <w:bookmarkStart w:id="51" w:name="_Toc10069368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6C3C0E8" w14:textId="77777777" w:rsidR="00EE29A9" w:rsidRDefault="00EE29A9" w:rsidP="00EE29A9">
      <w:pPr>
        <w:pStyle w:val="Heading2"/>
      </w:pPr>
      <w:bookmarkStart w:id="52" w:name="_Toc98857866"/>
      <w:bookmarkStart w:id="53" w:name="_Toc98857995"/>
      <w:bookmarkStart w:id="54" w:name="_Toc100693683"/>
      <w:bookmarkStart w:id="55" w:name="_Toc101366793"/>
      <w:bookmarkStart w:id="56" w:name="_Toc101366794"/>
      <w:bookmarkStart w:id="57" w:name="_Toc101366795"/>
      <w:bookmarkStart w:id="58" w:name="_Toc101366796"/>
      <w:bookmarkStart w:id="59" w:name="_Toc101366797"/>
      <w:bookmarkStart w:id="60" w:name="_Toc101366798"/>
      <w:bookmarkStart w:id="61" w:name="_Toc101366799"/>
      <w:bookmarkStart w:id="62" w:name="_Toc101366836"/>
      <w:bookmarkEnd w:id="52"/>
      <w:bookmarkEnd w:id="53"/>
      <w:bookmarkEnd w:id="54"/>
      <w:bookmarkEnd w:id="55"/>
      <w:bookmarkEnd w:id="56"/>
      <w:bookmarkEnd w:id="57"/>
      <w:bookmarkEnd w:id="58"/>
      <w:bookmarkEnd w:id="59"/>
      <w:bookmarkEnd w:id="60"/>
      <w:bookmarkEnd w:id="61"/>
      <w:r>
        <w:t>Rate Capping</w:t>
      </w:r>
      <w:bookmarkEnd w:id="62"/>
    </w:p>
    <w:p w14:paraId="5ECC4C5C" w14:textId="77777777" w:rsidR="00EE29A9" w:rsidRDefault="00EE29A9" w:rsidP="00EE29A9">
      <w:r>
        <w:t>The Victorian Government introduced rate capping to promote the long term interest of ratepayers and the community in relation to sustainable outcomes in the delivery of services and critical infrastructure.  It aims to ensure that a council has the financial capacity to perform its duties and functions and exercise its powers.</w:t>
      </w:r>
    </w:p>
    <w:p w14:paraId="5E9A5B95" w14:textId="77777777" w:rsidR="00EE29A9" w:rsidRDefault="00EE29A9" w:rsidP="00EE29A9">
      <w:r>
        <w:t>Council is required to adhere to the Local Government Amendment (Fair Go Rates) Act 2015 and prepare a budget on the basis of applying an average rate cap fixed by general order by the Victorian Government Minister of Local Government.</w:t>
      </w:r>
    </w:p>
    <w:p w14:paraId="22B34355" w14:textId="4D408CC9" w:rsidR="00EE29A9" w:rsidRDefault="00EE29A9" w:rsidP="00EE29A9">
      <w:r>
        <w:t xml:space="preserve">The  Victorian Government sets the maximum allowable percentage that Council can increase its average rates per property from one year (base year) to the next (capped year). The cap applies to both general rates and municipal charges. Waste (service) charges are not capped.  </w:t>
      </w:r>
    </w:p>
    <w:p w14:paraId="770766D5" w14:textId="77777777" w:rsidR="00DB5E4E" w:rsidRDefault="00DB5E4E" w:rsidP="00DB5E4E">
      <w:r>
        <w:t>The formular for setting the rates cap including Council’s Budget 2021/22 for rates is as follows:</w:t>
      </w:r>
    </w:p>
    <w:tbl>
      <w:tblPr>
        <w:tblStyle w:val="TableGrid"/>
        <w:tblW w:w="0" w:type="auto"/>
        <w:tblLayout w:type="fixed"/>
        <w:tblLook w:val="04A0" w:firstRow="1" w:lastRow="0" w:firstColumn="1" w:lastColumn="0" w:noHBand="0" w:noVBand="1"/>
      </w:tblPr>
      <w:tblGrid>
        <w:gridCol w:w="6232"/>
        <w:gridCol w:w="1276"/>
        <w:gridCol w:w="2120"/>
      </w:tblGrid>
      <w:tr w:rsidR="00DB5E4E" w14:paraId="68C1A4C1" w14:textId="77777777" w:rsidTr="000875BA">
        <w:tc>
          <w:tcPr>
            <w:tcW w:w="6232" w:type="dxa"/>
            <w:vAlign w:val="bottom"/>
          </w:tcPr>
          <w:p w14:paraId="7200F66E" w14:textId="77777777" w:rsidR="00DB5E4E" w:rsidRDefault="00DB5E4E" w:rsidP="000875BA">
            <w:r>
              <w:t>Total rateable property value as at 30 June 2021 (prior year)</w:t>
            </w:r>
          </w:p>
        </w:tc>
        <w:tc>
          <w:tcPr>
            <w:tcW w:w="1276" w:type="dxa"/>
            <w:vAlign w:val="bottom"/>
          </w:tcPr>
          <w:p w14:paraId="29FAE04F" w14:textId="77777777" w:rsidR="00DB5E4E" w:rsidRPr="00242CC3" w:rsidRDefault="00DB5E4E" w:rsidP="000875BA">
            <w:pPr>
              <w:jc w:val="center"/>
              <w:rPr>
                <w:b/>
                <w:bCs/>
              </w:rPr>
            </w:pPr>
            <w:r w:rsidRPr="00242CC3">
              <w:rPr>
                <w:b/>
                <w:bCs/>
              </w:rPr>
              <w:t>A</w:t>
            </w:r>
          </w:p>
        </w:tc>
        <w:tc>
          <w:tcPr>
            <w:tcW w:w="2120" w:type="dxa"/>
            <w:vAlign w:val="bottom"/>
          </w:tcPr>
          <w:p w14:paraId="187C0467" w14:textId="77777777" w:rsidR="00DB5E4E" w:rsidRDefault="00DB5E4E" w:rsidP="000875BA">
            <w:pPr>
              <w:jc w:val="right"/>
            </w:pPr>
            <w:r>
              <w:t>3,578,090,50</w:t>
            </w:r>
          </w:p>
        </w:tc>
      </w:tr>
      <w:tr w:rsidR="00DB5E4E" w14:paraId="1B7245EC" w14:textId="77777777" w:rsidTr="000875BA">
        <w:tc>
          <w:tcPr>
            <w:tcW w:w="6232" w:type="dxa"/>
            <w:vAlign w:val="bottom"/>
          </w:tcPr>
          <w:p w14:paraId="67DA68F0" w14:textId="77777777" w:rsidR="00DB5E4E" w:rsidRDefault="00DB5E4E" w:rsidP="000875BA">
            <w:r>
              <w:t>Rate in the dollar (prior year)</w:t>
            </w:r>
          </w:p>
        </w:tc>
        <w:tc>
          <w:tcPr>
            <w:tcW w:w="1276" w:type="dxa"/>
            <w:vAlign w:val="bottom"/>
          </w:tcPr>
          <w:p w14:paraId="40F89D73" w14:textId="77777777" w:rsidR="00DB5E4E" w:rsidRPr="00242CC3" w:rsidRDefault="00DB5E4E" w:rsidP="000875BA">
            <w:pPr>
              <w:jc w:val="center"/>
              <w:rPr>
                <w:b/>
                <w:bCs/>
              </w:rPr>
            </w:pPr>
            <w:r w:rsidRPr="00242CC3">
              <w:rPr>
                <w:b/>
                <w:bCs/>
              </w:rPr>
              <w:t>B</w:t>
            </w:r>
          </w:p>
        </w:tc>
        <w:tc>
          <w:tcPr>
            <w:tcW w:w="2120" w:type="dxa"/>
            <w:vAlign w:val="bottom"/>
          </w:tcPr>
          <w:p w14:paraId="1CBD0B96" w14:textId="77777777" w:rsidR="00DB5E4E" w:rsidRDefault="00DB5E4E" w:rsidP="000875BA">
            <w:pPr>
              <w:jc w:val="right"/>
            </w:pPr>
            <w:r>
              <w:t>0.037282</w:t>
            </w:r>
          </w:p>
        </w:tc>
      </w:tr>
      <w:tr w:rsidR="00DB5E4E" w14:paraId="54AABE71" w14:textId="77777777" w:rsidTr="000875BA">
        <w:tc>
          <w:tcPr>
            <w:tcW w:w="6232" w:type="dxa"/>
            <w:vAlign w:val="bottom"/>
          </w:tcPr>
          <w:p w14:paraId="09F12CB4" w14:textId="77777777" w:rsidR="00DB5E4E" w:rsidRDefault="00DB5E4E" w:rsidP="000875BA">
            <w:r>
              <w:t>Total General Rates</w:t>
            </w:r>
          </w:p>
        </w:tc>
        <w:tc>
          <w:tcPr>
            <w:tcW w:w="1276" w:type="dxa"/>
            <w:vAlign w:val="bottom"/>
          </w:tcPr>
          <w:p w14:paraId="044CB130" w14:textId="77777777" w:rsidR="00DB5E4E" w:rsidRPr="00242CC3" w:rsidRDefault="00DB5E4E" w:rsidP="000875BA">
            <w:pPr>
              <w:spacing w:after="0"/>
              <w:jc w:val="center"/>
              <w:rPr>
                <w:b/>
                <w:bCs/>
              </w:rPr>
            </w:pPr>
            <w:r w:rsidRPr="00242CC3">
              <w:rPr>
                <w:b/>
                <w:bCs/>
              </w:rPr>
              <w:t>C</w:t>
            </w:r>
          </w:p>
          <w:p w14:paraId="0D362FF8" w14:textId="77777777" w:rsidR="00DB5E4E" w:rsidRDefault="00DB5E4E" w:rsidP="000875BA">
            <w:pPr>
              <w:spacing w:after="0"/>
              <w:jc w:val="center"/>
            </w:pPr>
            <w:r>
              <w:t>= (A x B)</w:t>
            </w:r>
          </w:p>
        </w:tc>
        <w:tc>
          <w:tcPr>
            <w:tcW w:w="2120" w:type="dxa"/>
            <w:vAlign w:val="bottom"/>
          </w:tcPr>
          <w:p w14:paraId="72DAF30A" w14:textId="77777777" w:rsidR="00DB5E4E" w:rsidRDefault="00DB5E4E" w:rsidP="000875BA">
            <w:pPr>
              <w:jc w:val="right"/>
            </w:pPr>
            <w:r>
              <w:t>$133,398,386</w:t>
            </w:r>
          </w:p>
        </w:tc>
      </w:tr>
      <w:tr w:rsidR="00DB5E4E" w14:paraId="686ED448" w14:textId="77777777" w:rsidTr="000875BA">
        <w:tc>
          <w:tcPr>
            <w:tcW w:w="6232" w:type="dxa"/>
            <w:vAlign w:val="center"/>
          </w:tcPr>
          <w:p w14:paraId="3558DFF9" w14:textId="77777777" w:rsidR="00DB5E4E" w:rsidRDefault="00DB5E4E" w:rsidP="000875BA">
            <w:r>
              <w:t>No of assessments as at 30 June (prior year)</w:t>
            </w:r>
          </w:p>
        </w:tc>
        <w:tc>
          <w:tcPr>
            <w:tcW w:w="1276" w:type="dxa"/>
            <w:vAlign w:val="center"/>
          </w:tcPr>
          <w:p w14:paraId="2D953504" w14:textId="77777777" w:rsidR="00DB5E4E" w:rsidRPr="00242CC3" w:rsidRDefault="00DB5E4E" w:rsidP="000875BA">
            <w:pPr>
              <w:jc w:val="center"/>
              <w:rPr>
                <w:b/>
                <w:bCs/>
              </w:rPr>
            </w:pPr>
            <w:r w:rsidRPr="00242CC3">
              <w:rPr>
                <w:b/>
                <w:bCs/>
              </w:rPr>
              <w:t>D</w:t>
            </w:r>
          </w:p>
        </w:tc>
        <w:tc>
          <w:tcPr>
            <w:tcW w:w="2120" w:type="dxa"/>
            <w:vAlign w:val="center"/>
          </w:tcPr>
          <w:p w14:paraId="501FA0F6" w14:textId="77777777" w:rsidR="00DB5E4E" w:rsidRDefault="00DB5E4E" w:rsidP="000875BA">
            <w:pPr>
              <w:jc w:val="right"/>
            </w:pPr>
            <w:r>
              <w:t>74,459</w:t>
            </w:r>
          </w:p>
        </w:tc>
      </w:tr>
      <w:tr w:rsidR="00DB5E4E" w14:paraId="02059F60" w14:textId="77777777" w:rsidTr="000875BA">
        <w:trPr>
          <w:trHeight w:val="501"/>
        </w:trPr>
        <w:tc>
          <w:tcPr>
            <w:tcW w:w="6232" w:type="dxa"/>
            <w:vAlign w:val="bottom"/>
          </w:tcPr>
          <w:p w14:paraId="7ED2C2F7" w14:textId="77777777" w:rsidR="00DB5E4E" w:rsidRDefault="00DB5E4E" w:rsidP="000875BA">
            <w:r>
              <w:t>Base average rates per assessment</w:t>
            </w:r>
          </w:p>
        </w:tc>
        <w:tc>
          <w:tcPr>
            <w:tcW w:w="1276" w:type="dxa"/>
            <w:vAlign w:val="bottom"/>
          </w:tcPr>
          <w:p w14:paraId="768E84C0" w14:textId="77777777" w:rsidR="00DB5E4E" w:rsidRPr="00242CC3" w:rsidRDefault="00DB5E4E" w:rsidP="000875BA">
            <w:pPr>
              <w:spacing w:after="0"/>
              <w:contextualSpacing/>
              <w:jc w:val="center"/>
              <w:rPr>
                <w:b/>
                <w:bCs/>
              </w:rPr>
            </w:pPr>
            <w:r w:rsidRPr="00242CC3">
              <w:rPr>
                <w:b/>
                <w:bCs/>
              </w:rPr>
              <w:t>E</w:t>
            </w:r>
          </w:p>
          <w:p w14:paraId="54879FE0" w14:textId="77777777" w:rsidR="00DB5E4E" w:rsidRDefault="00DB5E4E" w:rsidP="000875BA">
            <w:pPr>
              <w:spacing w:after="0"/>
              <w:jc w:val="center"/>
            </w:pPr>
            <w:r>
              <w:t>= (C / D)</w:t>
            </w:r>
          </w:p>
        </w:tc>
        <w:tc>
          <w:tcPr>
            <w:tcW w:w="2120" w:type="dxa"/>
            <w:vAlign w:val="bottom"/>
          </w:tcPr>
          <w:p w14:paraId="720D4464" w14:textId="77777777" w:rsidR="00DB5E4E" w:rsidRDefault="00DB5E4E" w:rsidP="000875BA">
            <w:pPr>
              <w:jc w:val="right"/>
            </w:pPr>
            <w:r>
              <w:t>$1,791.56</w:t>
            </w:r>
          </w:p>
        </w:tc>
      </w:tr>
      <w:tr w:rsidR="00DB5E4E" w14:paraId="422A96EF" w14:textId="77777777" w:rsidTr="000875BA">
        <w:tc>
          <w:tcPr>
            <w:tcW w:w="6232" w:type="dxa"/>
            <w:vAlign w:val="bottom"/>
          </w:tcPr>
          <w:p w14:paraId="2CBFE0D8" w14:textId="77777777" w:rsidR="00DB5E4E" w:rsidRDefault="00DB5E4E" w:rsidP="000875BA">
            <w:r>
              <w:t>Maximum Rate Increase</w:t>
            </w:r>
          </w:p>
        </w:tc>
        <w:tc>
          <w:tcPr>
            <w:tcW w:w="1276" w:type="dxa"/>
            <w:vAlign w:val="bottom"/>
          </w:tcPr>
          <w:p w14:paraId="58219670" w14:textId="77777777" w:rsidR="00DB5E4E" w:rsidRPr="00242CC3" w:rsidRDefault="00DB5E4E" w:rsidP="000875BA">
            <w:pPr>
              <w:jc w:val="center"/>
              <w:rPr>
                <w:b/>
                <w:bCs/>
              </w:rPr>
            </w:pPr>
            <w:r w:rsidRPr="00242CC3">
              <w:rPr>
                <w:b/>
                <w:bCs/>
              </w:rPr>
              <w:t>F</w:t>
            </w:r>
          </w:p>
        </w:tc>
        <w:tc>
          <w:tcPr>
            <w:tcW w:w="2120" w:type="dxa"/>
            <w:vAlign w:val="bottom"/>
          </w:tcPr>
          <w:p w14:paraId="1B951A9C" w14:textId="77777777" w:rsidR="00DB5E4E" w:rsidRDefault="00DB5E4E" w:rsidP="000875BA">
            <w:pPr>
              <w:jc w:val="right"/>
            </w:pPr>
            <w:r>
              <w:t>1.50%</w:t>
            </w:r>
          </w:p>
        </w:tc>
      </w:tr>
      <w:tr w:rsidR="00DB5E4E" w14:paraId="74D3117B" w14:textId="77777777" w:rsidTr="000875BA">
        <w:tc>
          <w:tcPr>
            <w:tcW w:w="6232" w:type="dxa"/>
            <w:shd w:val="clear" w:color="auto" w:fill="0090A3"/>
            <w:vAlign w:val="bottom"/>
          </w:tcPr>
          <w:p w14:paraId="76ED1481" w14:textId="77777777" w:rsidR="00DB5E4E" w:rsidRPr="00242CC3" w:rsidRDefault="00DB5E4E" w:rsidP="000875BA">
            <w:pPr>
              <w:rPr>
                <w:color w:val="FFFFFF" w:themeColor="background1"/>
              </w:rPr>
            </w:pPr>
            <w:r w:rsidRPr="00242CC3">
              <w:rPr>
                <w:color w:val="FFFFFF" w:themeColor="background1"/>
              </w:rPr>
              <w:t>Capped Average Rate</w:t>
            </w:r>
          </w:p>
        </w:tc>
        <w:tc>
          <w:tcPr>
            <w:tcW w:w="1276" w:type="dxa"/>
            <w:shd w:val="clear" w:color="auto" w:fill="0090A3"/>
            <w:vAlign w:val="bottom"/>
          </w:tcPr>
          <w:p w14:paraId="00389639" w14:textId="77777777" w:rsidR="00DB5E4E" w:rsidRPr="00242CC3" w:rsidRDefault="00DB5E4E" w:rsidP="000875BA">
            <w:pPr>
              <w:spacing w:after="0"/>
              <w:jc w:val="center"/>
              <w:rPr>
                <w:b/>
                <w:bCs/>
                <w:color w:val="FFFFFF" w:themeColor="background1"/>
              </w:rPr>
            </w:pPr>
            <w:r w:rsidRPr="00242CC3">
              <w:rPr>
                <w:b/>
                <w:bCs/>
                <w:color w:val="FFFFFF" w:themeColor="background1"/>
              </w:rPr>
              <w:t>G</w:t>
            </w:r>
          </w:p>
          <w:p w14:paraId="15E7B7D7" w14:textId="77777777" w:rsidR="00DB5E4E" w:rsidRPr="00242CC3" w:rsidRDefault="00DB5E4E" w:rsidP="000875BA">
            <w:pPr>
              <w:spacing w:after="0"/>
              <w:jc w:val="center"/>
              <w:rPr>
                <w:color w:val="FFFFFF" w:themeColor="background1"/>
              </w:rPr>
            </w:pPr>
            <w:r w:rsidRPr="00242CC3">
              <w:rPr>
                <w:color w:val="FFFFFF" w:themeColor="background1"/>
              </w:rPr>
              <w:t>= (E x F)</w:t>
            </w:r>
          </w:p>
        </w:tc>
        <w:tc>
          <w:tcPr>
            <w:tcW w:w="2120" w:type="dxa"/>
            <w:shd w:val="clear" w:color="auto" w:fill="0090A3"/>
            <w:vAlign w:val="bottom"/>
          </w:tcPr>
          <w:p w14:paraId="7584703F" w14:textId="77777777" w:rsidR="00DB5E4E" w:rsidRPr="00242CC3" w:rsidRDefault="00DB5E4E" w:rsidP="000875BA">
            <w:pPr>
              <w:jc w:val="right"/>
              <w:rPr>
                <w:color w:val="FFFFFF" w:themeColor="background1"/>
              </w:rPr>
            </w:pPr>
            <w:r w:rsidRPr="00242CC3">
              <w:rPr>
                <w:color w:val="FFFFFF" w:themeColor="background1"/>
              </w:rPr>
              <w:t>$1,818.43</w:t>
            </w:r>
          </w:p>
        </w:tc>
      </w:tr>
      <w:tr w:rsidR="00DB5E4E" w:rsidRPr="00ED2267" w14:paraId="05851415" w14:textId="77777777" w:rsidTr="000875BA">
        <w:tc>
          <w:tcPr>
            <w:tcW w:w="6232" w:type="dxa"/>
            <w:vAlign w:val="bottom"/>
          </w:tcPr>
          <w:p w14:paraId="6052A3FA" w14:textId="77777777" w:rsidR="00DB5E4E" w:rsidRPr="00ED2267" w:rsidRDefault="00DB5E4E" w:rsidP="000875BA">
            <w:pPr>
              <w:rPr>
                <w:b/>
              </w:rPr>
            </w:pPr>
            <w:r w:rsidRPr="00ED2267">
              <w:rPr>
                <w:b/>
              </w:rPr>
              <w:t>Maximum General Rates Revenue</w:t>
            </w:r>
          </w:p>
        </w:tc>
        <w:tc>
          <w:tcPr>
            <w:tcW w:w="1276" w:type="dxa"/>
            <w:vAlign w:val="bottom"/>
          </w:tcPr>
          <w:p w14:paraId="5D69973E" w14:textId="77777777" w:rsidR="00DB5E4E" w:rsidRPr="00AF6E52" w:rsidRDefault="00DB5E4E" w:rsidP="000875BA">
            <w:pPr>
              <w:spacing w:after="0"/>
              <w:jc w:val="center"/>
              <w:rPr>
                <w:b/>
              </w:rPr>
            </w:pPr>
            <w:r w:rsidRPr="00AF6E52">
              <w:rPr>
                <w:b/>
              </w:rPr>
              <w:t>H</w:t>
            </w:r>
          </w:p>
          <w:p w14:paraId="36DC152B" w14:textId="77777777" w:rsidR="00DB5E4E" w:rsidRPr="00242CC3" w:rsidRDefault="00DB5E4E" w:rsidP="000875BA">
            <w:pPr>
              <w:spacing w:after="0"/>
              <w:jc w:val="center"/>
              <w:rPr>
                <w:bCs/>
              </w:rPr>
            </w:pPr>
            <w:r w:rsidRPr="00242CC3">
              <w:rPr>
                <w:bCs/>
              </w:rPr>
              <w:t>= (D x G)</w:t>
            </w:r>
          </w:p>
        </w:tc>
        <w:tc>
          <w:tcPr>
            <w:tcW w:w="2120" w:type="dxa"/>
            <w:vAlign w:val="bottom"/>
          </w:tcPr>
          <w:p w14:paraId="3424DED3" w14:textId="77777777" w:rsidR="00DB5E4E" w:rsidRPr="00ED2267" w:rsidRDefault="00DB5E4E" w:rsidP="000875BA">
            <w:pPr>
              <w:jc w:val="right"/>
              <w:rPr>
                <w:b/>
              </w:rPr>
            </w:pPr>
            <w:r w:rsidRPr="00ED2267">
              <w:rPr>
                <w:b/>
              </w:rPr>
              <w:t>$1</w:t>
            </w:r>
            <w:r>
              <w:rPr>
                <w:b/>
              </w:rPr>
              <w:t>35</w:t>
            </w:r>
            <w:r w:rsidRPr="00ED2267">
              <w:rPr>
                <w:b/>
              </w:rPr>
              <w:t>,</w:t>
            </w:r>
            <w:r>
              <w:rPr>
                <w:b/>
              </w:rPr>
              <w:t>398</w:t>
            </w:r>
            <w:r w:rsidRPr="00ED2267">
              <w:rPr>
                <w:b/>
              </w:rPr>
              <w:t>,</w:t>
            </w:r>
            <w:r>
              <w:rPr>
                <w:b/>
              </w:rPr>
              <w:t>479</w:t>
            </w:r>
          </w:p>
        </w:tc>
      </w:tr>
    </w:tbl>
    <w:p w14:paraId="5D600B6C" w14:textId="77777777" w:rsidR="00DB5E4E" w:rsidRDefault="00DB5E4E" w:rsidP="00DB5E4E"/>
    <w:p w14:paraId="48A30500" w14:textId="544F765A" w:rsidR="00DB5E4E" w:rsidRDefault="00DB5E4E" w:rsidP="00DB5E4E">
      <w:r>
        <w:t xml:space="preserve">The rates capping set by the Victorian Government have been ranging from 1.5 percent to 2.5 percent for the first seven financial years since introduction in 2016/17. These are much lower than past increases to rates and lower than </w:t>
      </w:r>
      <w:r w:rsidR="00A6055D">
        <w:t>annual</w:t>
      </w:r>
      <w:r>
        <w:t xml:space="preserve"> inflation</w:t>
      </w:r>
      <w:r w:rsidR="00A6055D">
        <w:t xml:space="preserve"> of Council’s costs</w:t>
      </w:r>
      <w:r>
        <w:t>.</w:t>
      </w:r>
    </w:p>
    <w:p w14:paraId="3103B7E1" w14:textId="77777777" w:rsidR="00DB5E4E" w:rsidRDefault="00DB5E4E" w:rsidP="00DB5E4E">
      <w:r>
        <w:t>The level of required rates and charges has been considered in the context of rate capping, with reference to Council’s other sources of income, planned expenditure on services and capital works to be undertaken for the Port Phillip community.</w:t>
      </w:r>
    </w:p>
    <w:p w14:paraId="76B1F546" w14:textId="77777777" w:rsidR="00DB5E4E" w:rsidRDefault="00DB5E4E" w:rsidP="00DB5E4E">
      <w:r>
        <w:t>If the rate cap is insufficient for council’s needs, council can apply to the Essessntial Services Commission for a higher cap, up to four years of higher caps at a time.</w:t>
      </w:r>
    </w:p>
    <w:p w14:paraId="7C7030A7" w14:textId="58065B83" w:rsidR="00DB5E4E" w:rsidRDefault="00DB5E4E" w:rsidP="00EE29A9">
      <w:r>
        <w:t xml:space="preserve">Our long-term financial strategy is not to seek a rates cap variation. </w:t>
      </w:r>
    </w:p>
    <w:p w14:paraId="522AD5BD" w14:textId="77777777" w:rsidR="00EE29A9" w:rsidRDefault="00EE29A9" w:rsidP="00EE29A9">
      <w:pPr>
        <w:pStyle w:val="Heading2"/>
      </w:pPr>
      <w:bookmarkStart w:id="63" w:name="_Toc101366837"/>
      <w:r>
        <w:t>Financial Strategy</w:t>
      </w:r>
      <w:bookmarkEnd w:id="63"/>
      <w:r>
        <w:t xml:space="preserve"> </w:t>
      </w:r>
    </w:p>
    <w:p w14:paraId="5056A6E6" w14:textId="11DD0116" w:rsidR="00EE29A9" w:rsidRDefault="00EE29A9" w:rsidP="00EE29A9">
      <w:pPr>
        <w:jc w:val="both"/>
      </w:pPr>
      <w:r>
        <w:t>The City of Port Phillip’s financial strategy provides clear direction on the allocation, management and use of financial resources. It aims to ensure that Council stays financially sustainable while maintaining assets and services, responding to growth, and delivering on our priorities.</w:t>
      </w:r>
    </w:p>
    <w:p w14:paraId="274DAD55" w14:textId="38217CBA" w:rsidR="00EE29A9" w:rsidRPr="00325792" w:rsidRDefault="00EE29A9" w:rsidP="00EE29A9">
      <w:pPr>
        <w:jc w:val="both"/>
      </w:pPr>
      <w:r>
        <w:t xml:space="preserve">We invest approximately $240 million per annum on community services and upkeep of our $3.2 billion of community infrastructure. Our revenue sources are finite and there is heavily reliance on rates and charges </w:t>
      </w:r>
      <w:r w:rsidRPr="00325792">
        <w:t xml:space="preserve">which accounts for approximately 56% of total revenue. </w:t>
      </w:r>
    </w:p>
    <w:p w14:paraId="69FF5F4E" w14:textId="3F337775" w:rsidR="00EE29A9" w:rsidRDefault="00EE29A9" w:rsidP="00EE29A9">
      <w:pPr>
        <w:jc w:val="both"/>
      </w:pPr>
      <w:r w:rsidRPr="00325792">
        <w:t xml:space="preserve">We closely monitor the affordability of services and recognise ongoing community concerns about the financial impost of rates and the cost of other essential services.  </w:t>
      </w:r>
      <w:r w:rsidRPr="008B25A7">
        <w:t xml:space="preserve">In view of this, </w:t>
      </w:r>
      <w:r w:rsidR="00325792" w:rsidRPr="008B25A7">
        <w:t xml:space="preserve">average </w:t>
      </w:r>
      <w:r w:rsidRPr="008B25A7">
        <w:t xml:space="preserve">rates revenue will increase by the rates cap over the life of the 10-year </w:t>
      </w:r>
      <w:r w:rsidR="006A3DEC" w:rsidRPr="008B25A7">
        <w:t>F</w:t>
      </w:r>
      <w:r w:rsidRPr="008B25A7">
        <w:t xml:space="preserve">inancial </w:t>
      </w:r>
      <w:r w:rsidR="006A3DEC" w:rsidRPr="008B25A7">
        <w:t>P</w:t>
      </w:r>
      <w:r w:rsidRPr="008B25A7">
        <w:t>lan.</w:t>
      </w:r>
    </w:p>
    <w:p w14:paraId="04F833D8" w14:textId="347A8990" w:rsidR="00EE29A9" w:rsidRDefault="00EE29A9" w:rsidP="00EE29A9">
      <w:pPr>
        <w:jc w:val="both"/>
      </w:pPr>
      <w:r>
        <w:t xml:space="preserve">Our 10-year financial plan highlights a funding gap up to $ </w:t>
      </w:r>
      <w:r w:rsidR="001E5290">
        <w:t xml:space="preserve">103 </w:t>
      </w:r>
      <w:r>
        <w:t>million. A significant portion of this deficit is driven by new waste services (such as food organic garden organic and glass recycling) and waste cost escalation above rates cap (such as landfill levy increases by 91% over three years set by the State Government). Additional revenue from the proposed waste charge only recovers $31 million of the funding gap.</w:t>
      </w:r>
    </w:p>
    <w:p w14:paraId="40E9864A" w14:textId="1E61D700" w:rsidR="00EE29A9" w:rsidRDefault="00EE29A9" w:rsidP="00EE29A9">
      <w:pPr>
        <w:jc w:val="both"/>
      </w:pPr>
      <w:r>
        <w:t>Our community’s expectation for better value service delivery is of primary concern to Council. Deliverying effiency and cost savings is one of the key strategic financial levers we use to balance our budget. We have embedded a 1% of annual efficiency target in the financial plan. This builds on the $12.6 million of efficiency savings in the last Council and $4.1 million achieved in the first two budgets of this Council.</w:t>
      </w:r>
      <w:r w:rsidR="00106791">
        <w:t xml:space="preserve"> </w:t>
      </w:r>
    </w:p>
    <w:p w14:paraId="59D18DC9" w14:textId="77777777" w:rsidR="00EE29A9" w:rsidRPr="00B14F9B" w:rsidRDefault="00EE29A9" w:rsidP="00EE29A9">
      <w:pPr>
        <w:jc w:val="both"/>
      </w:pPr>
      <w:r>
        <w:t>Other strategic levels to balance the budget include: appropriate use of borrowings and reserves, careful management and prioritisation of expenditure, and setting fair and appropriate user charges.</w:t>
      </w:r>
    </w:p>
    <w:p w14:paraId="5E3BC404" w14:textId="77777777" w:rsidR="00AB5737" w:rsidRPr="00662E02" w:rsidRDefault="00AB5737" w:rsidP="0028742E">
      <w:pPr>
        <w:widowControl w:val="0"/>
        <w:autoSpaceDE w:val="0"/>
        <w:autoSpaceDN w:val="0"/>
        <w:adjustRightInd w:val="0"/>
        <w:spacing w:line="276" w:lineRule="auto"/>
        <w:jc w:val="both"/>
      </w:pPr>
    </w:p>
    <w:p w14:paraId="724F24D2" w14:textId="315D9226" w:rsidR="00662E02" w:rsidRDefault="00662E02">
      <w:pPr>
        <w:tabs>
          <w:tab w:val="clear" w:pos="-3060"/>
          <w:tab w:val="clear" w:pos="-2340"/>
          <w:tab w:val="clear" w:pos="6300"/>
        </w:tabs>
        <w:suppressAutoHyphens w:val="0"/>
        <w:spacing w:after="160" w:line="259" w:lineRule="auto"/>
        <w:rPr>
          <w:b/>
          <w:color w:val="0090A3"/>
          <w:sz w:val="72"/>
          <w:szCs w:val="72"/>
        </w:rPr>
      </w:pPr>
      <w:r>
        <w:br w:type="page"/>
      </w:r>
    </w:p>
    <w:p w14:paraId="6DBC8528" w14:textId="2909122D" w:rsidR="00F1755B" w:rsidRDefault="00A75788" w:rsidP="00F16081">
      <w:pPr>
        <w:pStyle w:val="Heading1"/>
      </w:pPr>
      <w:bookmarkStart w:id="64" w:name="_Toc101366838"/>
      <w:r>
        <w:t xml:space="preserve">Rating </w:t>
      </w:r>
      <w:r w:rsidR="00C27277">
        <w:t>Objectives</w:t>
      </w:r>
      <w:bookmarkEnd w:id="64"/>
    </w:p>
    <w:p w14:paraId="63A8E814" w14:textId="52741B1A" w:rsidR="0028742E" w:rsidRDefault="00506DAD" w:rsidP="0028742E">
      <w:pPr>
        <w:jc w:val="both"/>
      </w:pPr>
      <w:r>
        <w:t>T</w:t>
      </w:r>
      <w:r w:rsidR="0028742E" w:rsidRPr="0028742E">
        <w:t xml:space="preserve">he </w:t>
      </w:r>
      <w:r w:rsidR="001364E3">
        <w:t>Council seeks to achieve the following objectives from this Rating Strategy</w:t>
      </w:r>
      <w:r w:rsidR="003C4CDF">
        <w:t xml:space="preserve">: equity, efficiency, simplicity, </w:t>
      </w:r>
      <w:r w:rsidR="0052087E">
        <w:t xml:space="preserve">managing the impacts of the </w:t>
      </w:r>
      <w:r w:rsidR="00B04C7B">
        <w:t xml:space="preserve">change, </w:t>
      </w:r>
      <w:r w:rsidR="00B2297E">
        <w:t xml:space="preserve">and strategic alignment. </w:t>
      </w:r>
    </w:p>
    <w:p w14:paraId="109C4B33" w14:textId="4B408B83" w:rsidR="0028742E" w:rsidRDefault="0028742E" w:rsidP="008B25A7">
      <w:pPr>
        <w:pStyle w:val="Heading2"/>
        <w:numPr>
          <w:ilvl w:val="1"/>
          <w:numId w:val="31"/>
        </w:numPr>
      </w:pPr>
      <w:bookmarkStart w:id="65" w:name="_Toc101366839"/>
      <w:r>
        <w:t xml:space="preserve">Equitable </w:t>
      </w:r>
      <w:r w:rsidR="001364E3">
        <w:t xml:space="preserve">rating </w:t>
      </w:r>
      <w:r>
        <w:t>outcomes</w:t>
      </w:r>
      <w:bookmarkEnd w:id="65"/>
    </w:p>
    <w:p w14:paraId="28ED775A" w14:textId="4DA295AE" w:rsidR="0028742E" w:rsidRPr="0028742E" w:rsidRDefault="0028742E" w:rsidP="0028742E">
      <w:pPr>
        <w:widowControl w:val="0"/>
        <w:autoSpaceDE w:val="0"/>
        <w:autoSpaceDN w:val="0"/>
        <w:adjustRightInd w:val="0"/>
        <w:spacing w:line="276" w:lineRule="auto"/>
        <w:jc w:val="both"/>
      </w:pPr>
      <w:r w:rsidRPr="0028742E">
        <w:t>Equity is the concept of fairness in the amount that each ratepayer contributes to the total rates burden of the community, in return for the benefit that councils provide. There are a number of different aspects to rating equity, including the following considerations:</w:t>
      </w:r>
    </w:p>
    <w:p w14:paraId="39088F5D" w14:textId="77777777" w:rsidR="0028742E" w:rsidRPr="0028742E" w:rsidRDefault="0028742E" w:rsidP="0028742E">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jc w:val="both"/>
      </w:pPr>
      <w:r w:rsidRPr="0028742E">
        <w:t>where appropriate, rates burdens should reflect the benefits ratepayers receive</w:t>
      </w:r>
    </w:p>
    <w:p w14:paraId="1870AA32" w14:textId="77777777" w:rsidR="0028742E" w:rsidRPr="0028742E" w:rsidRDefault="0028742E" w:rsidP="0028742E">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jc w:val="both"/>
      </w:pPr>
      <w:r w:rsidRPr="0028742E">
        <w:t>ratepayers with similar property values should be treated similarly</w:t>
      </w:r>
    </w:p>
    <w:p w14:paraId="184AB8CC" w14:textId="77777777" w:rsidR="002D2017" w:rsidRDefault="0028742E" w:rsidP="0028742E">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jc w:val="both"/>
      </w:pPr>
      <w:r w:rsidRPr="0028742E">
        <w:t xml:space="preserve">ratepayers with a higher ‘ability to pay’ (based on property values) should contribute relatively more rates. </w:t>
      </w:r>
    </w:p>
    <w:p w14:paraId="77DBBC23" w14:textId="78EF883E" w:rsidR="00662E02" w:rsidRDefault="0028742E" w:rsidP="0028742E">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jc w:val="both"/>
      </w:pPr>
      <w:r w:rsidRPr="0028742E">
        <w:t>ratepayers who are financially disadvantaged should be supported.</w:t>
      </w:r>
    </w:p>
    <w:p w14:paraId="594406C9" w14:textId="00FC8DE0" w:rsidR="002D2017" w:rsidRDefault="002D2017" w:rsidP="00F16081">
      <w:pPr>
        <w:pStyle w:val="Heading2"/>
      </w:pPr>
      <w:bookmarkStart w:id="66" w:name="_Toc101366840"/>
      <w:r>
        <w:t>Efficient rating outcomes</w:t>
      </w:r>
      <w:bookmarkEnd w:id="66"/>
    </w:p>
    <w:p w14:paraId="5D4B2CD5" w14:textId="0634FCFB" w:rsidR="00662E02" w:rsidRDefault="002D2017" w:rsidP="00662E02">
      <w:r>
        <w:t xml:space="preserve">The distribution </w:t>
      </w:r>
      <w:r w:rsidRPr="002D2017">
        <w:t>of council rates is economically efficient if it minimises its impact on decisions made within the economy. That is to say, ratepayer’s decisions (for example, whether to sub-divide a property) within the City of Port Phillip should not be unduly impacted based on the distribution of rates.</w:t>
      </w:r>
    </w:p>
    <w:p w14:paraId="65E0A321" w14:textId="192F8DF4" w:rsidR="000A320C" w:rsidRDefault="000A320C" w:rsidP="00F16081">
      <w:pPr>
        <w:pStyle w:val="Heading2"/>
      </w:pPr>
      <w:bookmarkStart w:id="67" w:name="_Toc101366841"/>
      <w:r>
        <w:t>Rating outcomes that are simple to understand</w:t>
      </w:r>
      <w:bookmarkEnd w:id="67"/>
    </w:p>
    <w:p w14:paraId="1C6CF191" w14:textId="59A8B6A4" w:rsidR="000A320C" w:rsidRDefault="000A320C" w:rsidP="00F05A3A">
      <w:pPr>
        <w:jc w:val="both"/>
      </w:pPr>
      <w:r w:rsidRPr="00F05A3A">
        <w:t>W</w:t>
      </w:r>
      <w:r w:rsidR="00D95C43" w:rsidRPr="00F05A3A">
        <w:t>he</w:t>
      </w:r>
      <w:r w:rsidR="00F05A3A" w:rsidRPr="00F05A3A">
        <w:t>rever possible, the rating practices implemented by councils should be coherent and easily understood by ratepayers and the community. This can often be difficult given the legislative framework council’s work within and the fact that equitable and efficient rating outcomes can conflict with simpl</w:t>
      </w:r>
      <w:r w:rsidR="00145BCF">
        <w:t>icity</w:t>
      </w:r>
      <w:r w:rsidR="00F05A3A" w:rsidRPr="00F05A3A">
        <w:t xml:space="preserve"> outcomes</w:t>
      </w:r>
      <w:r w:rsidR="00F05A3A">
        <w:t>.</w:t>
      </w:r>
    </w:p>
    <w:p w14:paraId="60D61583" w14:textId="46AF3767" w:rsidR="008F7518" w:rsidRDefault="008F7518" w:rsidP="008B25A7">
      <w:pPr>
        <w:pStyle w:val="Heading2"/>
      </w:pPr>
      <w:bookmarkStart w:id="68" w:name="_Toc101366842"/>
      <w:r>
        <w:t xml:space="preserve">Rating </w:t>
      </w:r>
      <w:r w:rsidR="001364E3">
        <w:t>o</w:t>
      </w:r>
      <w:r>
        <w:t xml:space="preserve">utcomes that manage the impact of </w:t>
      </w:r>
      <w:r w:rsidR="001364E3">
        <w:t>c</w:t>
      </w:r>
      <w:r>
        <w:t>hange</w:t>
      </w:r>
      <w:bookmarkEnd w:id="68"/>
    </w:p>
    <w:p w14:paraId="6532C6AE" w14:textId="081B2C59" w:rsidR="00410729" w:rsidRDefault="001E53CE" w:rsidP="008B25A7">
      <w:bookmarkStart w:id="69" w:name="_Hlk88586026"/>
      <w:r w:rsidRPr="008B25A7">
        <w:t>The City of Port Phillip is committed to ensure the impact of change is identified, communicated and managed appropriately, including where necessary phasing in changes to reduce its impact.</w:t>
      </w:r>
      <w:bookmarkEnd w:id="69"/>
    </w:p>
    <w:p w14:paraId="5D62825D" w14:textId="173601F5" w:rsidR="00E048BA" w:rsidRDefault="00E048BA" w:rsidP="00E048BA">
      <w:pPr>
        <w:pStyle w:val="Heading2"/>
      </w:pPr>
      <w:bookmarkStart w:id="70" w:name="_Toc101366843"/>
      <w:r>
        <w:t>Rating outcomes that align with the Council Plan</w:t>
      </w:r>
      <w:bookmarkEnd w:id="70"/>
      <w:r>
        <w:t xml:space="preserve"> </w:t>
      </w:r>
    </w:p>
    <w:p w14:paraId="1C02CC70" w14:textId="13FD7152" w:rsidR="00F05A3A" w:rsidRDefault="00F215A2">
      <w:pPr>
        <w:tabs>
          <w:tab w:val="clear" w:pos="-3060"/>
          <w:tab w:val="clear" w:pos="-2340"/>
          <w:tab w:val="clear" w:pos="6300"/>
        </w:tabs>
        <w:suppressAutoHyphens w:val="0"/>
        <w:spacing w:after="160" w:line="259" w:lineRule="auto"/>
      </w:pPr>
      <w:r>
        <w:t>Considering alignment of rating outcomes with the Council Plan strategic prioritie</w:t>
      </w:r>
      <w:r w:rsidR="008C41A7">
        <w:t>s. T</w:t>
      </w:r>
      <w:r>
        <w:t xml:space="preserve">here may at times be conflict between </w:t>
      </w:r>
      <w:r w:rsidR="008C41A7">
        <w:t xml:space="preserve">strategic </w:t>
      </w:r>
      <w:r>
        <w:t>priorities and with other rating outcomes</w:t>
      </w:r>
      <w:r w:rsidR="00324D64">
        <w:t xml:space="preserve"> </w:t>
      </w:r>
      <w:r w:rsidR="00C405A3">
        <w:rPr>
          <w:lang w:val="en-GB"/>
        </w:rPr>
        <w:t xml:space="preserve">and careful consideration will be required to ensure appropriate balance. </w:t>
      </w:r>
      <w:r w:rsidR="00714FD4">
        <w:rPr>
          <w:lang w:val="en-GB"/>
        </w:rPr>
        <w:t xml:space="preserve"> </w:t>
      </w:r>
      <w:r w:rsidR="00F05A3A">
        <w:br w:type="page"/>
      </w:r>
    </w:p>
    <w:p w14:paraId="5750E3C3" w14:textId="2DE894A6" w:rsidR="00F05A3A" w:rsidRDefault="00F05A3A" w:rsidP="00F16081">
      <w:pPr>
        <w:pStyle w:val="Heading1"/>
      </w:pPr>
      <w:bookmarkStart w:id="71" w:name="_Toc101366844"/>
      <w:r>
        <w:t>Rating Principles</w:t>
      </w:r>
      <w:bookmarkEnd w:id="71"/>
    </w:p>
    <w:p w14:paraId="163A5915" w14:textId="159292AC" w:rsidR="00F05A3A" w:rsidRPr="00B74DCE" w:rsidRDefault="00F05A3A" w:rsidP="004B699B">
      <w:pPr>
        <w:spacing w:after="240"/>
        <w:jc w:val="both"/>
      </w:pPr>
      <w:r w:rsidRPr="00B74DCE">
        <w:t xml:space="preserve">The various elements of the City of Port Phillip’s Rating Strategy can be summarised in </w:t>
      </w:r>
      <w:r w:rsidR="004A2EF3">
        <w:t>the following principles.</w:t>
      </w:r>
    </w:p>
    <w:p w14:paraId="648CD3A2" w14:textId="5AD7B72A" w:rsidR="004B699B" w:rsidRPr="00B74DCE" w:rsidRDefault="004B699B" w:rsidP="00573C4C">
      <w:pPr>
        <w:pStyle w:val="Heading4"/>
      </w:pPr>
      <w:r w:rsidRPr="00B74DCE">
        <w:t xml:space="preserve">Rating </w:t>
      </w:r>
      <w:r w:rsidR="00573C4C" w:rsidRPr="00B74DCE">
        <w:t>Principles</w:t>
      </w:r>
    </w:p>
    <w:p w14:paraId="4A64A3C9" w14:textId="321AF821" w:rsidR="00573C4C" w:rsidRPr="00DA15D8" w:rsidRDefault="00AC0954"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t xml:space="preserve">We </w:t>
      </w:r>
      <w:r w:rsidR="00573C4C" w:rsidRPr="00B74DCE">
        <w:t>will levy rates consis</w:t>
      </w:r>
      <w:r w:rsidR="00573C4C" w:rsidRPr="00DA15D8">
        <w:t xml:space="preserve">tent with a ratepayer’s ability to pay, as measured by the </w:t>
      </w:r>
      <w:r w:rsidR="00CE4744" w:rsidRPr="008B25A7">
        <w:t>Capital Improved Value</w:t>
      </w:r>
      <w:r w:rsidR="00573C4C" w:rsidRPr="00DA15D8">
        <w:t xml:space="preserve"> of property owned within the municipality.</w:t>
      </w:r>
    </w:p>
    <w:p w14:paraId="47F19050" w14:textId="5081FE40" w:rsidR="005737FA" w:rsidRDefault="008C4C8F">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t xml:space="preserve">A </w:t>
      </w:r>
      <w:r w:rsidR="001F622B">
        <w:t xml:space="preserve">higher differential rate </w:t>
      </w:r>
      <w:r>
        <w:t xml:space="preserve">will be set </w:t>
      </w:r>
      <w:r w:rsidR="001F622B">
        <w:t>for commercial and industrial properties</w:t>
      </w:r>
      <w:r w:rsidR="006D0051">
        <w:t xml:space="preserve"> compared to residential properties.</w:t>
      </w:r>
      <w:r w:rsidR="008C7C3F">
        <w:t xml:space="preserve"> </w:t>
      </w:r>
      <w:r>
        <w:t xml:space="preserve">This reflects an objective to maintain fairness </w:t>
      </w:r>
      <w:r w:rsidRPr="000F2872">
        <w:t>and re</w:t>
      </w:r>
      <w:r w:rsidR="00B01BF8" w:rsidRPr="008B25A7">
        <w:t>l</w:t>
      </w:r>
      <w:r w:rsidR="008E7079" w:rsidRPr="000F2872">
        <w:t>ative</w:t>
      </w:r>
      <w:r w:rsidRPr="000F2872">
        <w:t xml:space="preserve"> c</w:t>
      </w:r>
      <w:r>
        <w:t xml:space="preserve">onsistency in the distribution of rates between property classes as well as the taxation </w:t>
      </w:r>
      <w:r w:rsidR="002E37CB">
        <w:t xml:space="preserve">and higher rental yield benefits generally available to owners of these types of properties. </w:t>
      </w:r>
    </w:p>
    <w:p w14:paraId="6493F17F" w14:textId="2603B837" w:rsidR="00685893" w:rsidRDefault="00307E88">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8B25A7">
        <w:t xml:space="preserve">Differential rating will </w:t>
      </w:r>
      <w:r w:rsidR="00A13B07">
        <w:t xml:space="preserve">also </w:t>
      </w:r>
      <w:r w:rsidRPr="008B25A7">
        <w:t>be considered to assist with the development of our City consistent with Council Plan Objectives.</w:t>
      </w:r>
    </w:p>
    <w:p w14:paraId="7EABD84B" w14:textId="7E6345B2" w:rsidR="000B6341" w:rsidRPr="00DA15D8" w:rsidRDefault="005737FA"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t xml:space="preserve">Consistent with our </w:t>
      </w:r>
      <w:r w:rsidR="004B1FF8">
        <w:t xml:space="preserve">rating objective to manage the impacts of change, </w:t>
      </w:r>
      <w:r w:rsidR="00064F2B">
        <w:t>a</w:t>
      </w:r>
      <w:r w:rsidR="004B1FF8">
        <w:t xml:space="preserve">ny differential rating changes will be </w:t>
      </w:r>
      <w:r w:rsidR="007F2EC7">
        <w:t>gradual taken into consideration the annual general property valuation</w:t>
      </w:r>
      <w:r w:rsidR="0089648F">
        <w:t xml:space="preserve"> and demographic changes</w:t>
      </w:r>
      <w:r w:rsidR="007F2EC7">
        <w:t xml:space="preserve"> as part of the budget development process.</w:t>
      </w:r>
      <w:r w:rsidR="00DF0F4E" w:rsidRPr="00DA15D8">
        <w:t xml:space="preserve"> </w:t>
      </w:r>
    </w:p>
    <w:p w14:paraId="11EC3B53" w14:textId="695BB1D8" w:rsidR="00573C4C" w:rsidRPr="001F6855"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1F6855">
        <w:t xml:space="preserve">The </w:t>
      </w:r>
      <w:r w:rsidR="00911846" w:rsidRPr="008B25A7">
        <w:t>Council has chosen</w:t>
      </w:r>
      <w:r w:rsidRPr="001F6855">
        <w:t xml:space="preserve"> not </w:t>
      </w:r>
      <w:r w:rsidR="00911846" w:rsidRPr="008B25A7">
        <w:t xml:space="preserve">to </w:t>
      </w:r>
      <w:r w:rsidRPr="001F6855">
        <w:t xml:space="preserve">implement a municipal charge, </w:t>
      </w:r>
      <w:r w:rsidR="00911846" w:rsidRPr="008B25A7">
        <w:t>given the introduction of a fixed waste charge</w:t>
      </w:r>
      <w:r w:rsidR="0098297F" w:rsidRPr="008B25A7">
        <w:t>.</w:t>
      </w:r>
      <w:r w:rsidR="00911846" w:rsidRPr="008B25A7">
        <w:t xml:space="preserve"> </w:t>
      </w:r>
    </w:p>
    <w:p w14:paraId="5B6ED36B" w14:textId="14E99F63" w:rsidR="009C69F2" w:rsidRDefault="00A72F0C">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t>A</w:t>
      </w:r>
      <w:r w:rsidR="00AF0868" w:rsidRPr="008B25A7">
        <w:t xml:space="preserve"> </w:t>
      </w:r>
      <w:r w:rsidR="00834EAF" w:rsidRPr="008B25A7">
        <w:t>waste</w:t>
      </w:r>
      <w:r w:rsidR="00573C4C" w:rsidRPr="00B74DCE">
        <w:t xml:space="preserve"> charge</w:t>
      </w:r>
      <w:r w:rsidR="003B5F8F">
        <w:t>s</w:t>
      </w:r>
      <w:r w:rsidR="00CC1BA1">
        <w:t xml:space="preserve"> will apply</w:t>
      </w:r>
      <w:r w:rsidR="00834EAF" w:rsidRPr="008B25A7">
        <w:t xml:space="preserve"> to all rateable assessments to recover the cost of waste services that are direct or </w:t>
      </w:r>
      <w:r w:rsidR="008B32F2">
        <w:t xml:space="preserve">provide </w:t>
      </w:r>
      <w:r w:rsidR="00834EAF" w:rsidRPr="008B25A7">
        <w:t>private benefits (such as kerbside collection</w:t>
      </w:r>
      <w:r w:rsidR="00337673">
        <w:t>s</w:t>
      </w:r>
      <w:r w:rsidR="002B7F25">
        <w:t>;</w:t>
      </w:r>
      <w:r w:rsidR="00834EAF" w:rsidRPr="008B25A7">
        <w:t xml:space="preserve"> communal food</w:t>
      </w:r>
      <w:r w:rsidR="00FA100F">
        <w:t xml:space="preserve"> organics</w:t>
      </w:r>
      <w:r w:rsidR="00834EAF" w:rsidRPr="008B25A7">
        <w:t xml:space="preserve"> </w:t>
      </w:r>
      <w:r w:rsidR="00027C52">
        <w:t>and garden or</w:t>
      </w:r>
      <w:r w:rsidR="00FA100F">
        <w:t>ganics</w:t>
      </w:r>
      <w:r w:rsidR="00834EAF" w:rsidRPr="008B25A7">
        <w:t xml:space="preserve"> and gl</w:t>
      </w:r>
      <w:r w:rsidR="00324370" w:rsidRPr="008B25A7">
        <w:t>ass recycling</w:t>
      </w:r>
      <w:r w:rsidR="002B7F25">
        <w:t>;</w:t>
      </w:r>
      <w:r w:rsidR="00324370" w:rsidRPr="008B25A7">
        <w:t xml:space="preserve"> hard </w:t>
      </w:r>
      <w:r w:rsidR="009443F0">
        <w:t xml:space="preserve">and green </w:t>
      </w:r>
      <w:r w:rsidR="00324370" w:rsidRPr="008B25A7">
        <w:t>waste collection</w:t>
      </w:r>
      <w:r w:rsidR="002B7F25">
        <w:t>;</w:t>
      </w:r>
      <w:r w:rsidR="00324370" w:rsidRPr="008B25A7">
        <w:t xml:space="preserve"> and Resource Recovery Centre operations)</w:t>
      </w:r>
      <w:r w:rsidR="00232547" w:rsidRPr="008B25A7">
        <w:t xml:space="preserve">. </w:t>
      </w:r>
    </w:p>
    <w:p w14:paraId="2EACA8CF" w14:textId="18C555F0" w:rsidR="00573C4C" w:rsidRPr="00B74DCE" w:rsidRDefault="00232547"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8B25A7">
        <w:t>The setting of waste charges will</w:t>
      </w:r>
      <w:r w:rsidR="003B5F8F">
        <w:t xml:space="preserve"> be tiered recognising some </w:t>
      </w:r>
      <w:r w:rsidR="00F712D5">
        <w:t xml:space="preserve">key service differences between kerbside collection and </w:t>
      </w:r>
      <w:r w:rsidR="008A4ADA">
        <w:t>communal services.</w:t>
      </w:r>
      <w:r w:rsidRPr="008B25A7">
        <w:t xml:space="preserve"> </w:t>
      </w:r>
      <w:r w:rsidR="008A4ADA">
        <w:t xml:space="preserve">It will </w:t>
      </w:r>
      <w:r w:rsidRPr="008B25A7">
        <w:t>include a mix of concessions, bin sizes,</w:t>
      </w:r>
      <w:r w:rsidR="002351FB" w:rsidRPr="008B25A7">
        <w:t xml:space="preserve"> and exemptions to influence community behaviour, and </w:t>
      </w:r>
      <w:r w:rsidR="00A60819">
        <w:t xml:space="preserve">support </w:t>
      </w:r>
      <w:r w:rsidR="002351FB" w:rsidRPr="008B25A7">
        <w:t>equitable outcomes.</w:t>
      </w:r>
    </w:p>
    <w:p w14:paraId="30D4D5E2" w14:textId="77777777" w:rsidR="00573C4C" w:rsidRPr="00B74DCE"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Special rates and charges will be used where a specific benefit or service can be identified for ratepayers and only following consultation with the affected ratepayers.</w:t>
      </w:r>
    </w:p>
    <w:p w14:paraId="701DF9EB" w14:textId="657E9746" w:rsidR="00573C4C" w:rsidRPr="00B74DCE"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 xml:space="preserve">The </w:t>
      </w:r>
      <w:r w:rsidR="00EB12DF">
        <w:t>Council</w:t>
      </w:r>
      <w:r w:rsidRPr="00B74DCE">
        <w:t xml:space="preserve"> </w:t>
      </w:r>
      <w:r w:rsidR="00D363DE">
        <w:t xml:space="preserve">is </w:t>
      </w:r>
      <w:r w:rsidRPr="00B74DCE">
        <w:t xml:space="preserve">committed to providing targeted support for the financially disadvantaged in the community through the thoughtful use of: </w:t>
      </w:r>
    </w:p>
    <w:p w14:paraId="49099CC3" w14:textId="77777777" w:rsidR="00573C4C" w:rsidRPr="00B74DCE" w:rsidRDefault="00573C4C" w:rsidP="008B25A7">
      <w:pPr>
        <w:widowControl w:val="0"/>
        <w:numPr>
          <w:ilvl w:val="0"/>
          <w:numId w:val="13"/>
        </w:numPr>
        <w:tabs>
          <w:tab w:val="clear" w:pos="-3060"/>
          <w:tab w:val="clear" w:pos="-2340"/>
          <w:tab w:val="clear" w:pos="6300"/>
        </w:tabs>
        <w:suppressAutoHyphens w:val="0"/>
        <w:autoSpaceDE w:val="0"/>
        <w:autoSpaceDN w:val="0"/>
        <w:adjustRightInd w:val="0"/>
        <w:spacing w:after="0" w:line="276" w:lineRule="auto"/>
        <w:ind w:left="1134" w:hanging="567"/>
        <w:jc w:val="both"/>
      </w:pPr>
      <w:r w:rsidRPr="00B74DCE">
        <w:t>Rates charged to the property</w:t>
      </w:r>
    </w:p>
    <w:p w14:paraId="10CFD05D" w14:textId="2F8A9BE3" w:rsidR="00573C4C" w:rsidRPr="00B74DCE" w:rsidRDefault="00573C4C" w:rsidP="008B25A7">
      <w:pPr>
        <w:widowControl w:val="0"/>
        <w:numPr>
          <w:ilvl w:val="0"/>
          <w:numId w:val="13"/>
        </w:numPr>
        <w:tabs>
          <w:tab w:val="clear" w:pos="-3060"/>
          <w:tab w:val="clear" w:pos="-2340"/>
          <w:tab w:val="clear" w:pos="6300"/>
        </w:tabs>
        <w:suppressAutoHyphens w:val="0"/>
        <w:autoSpaceDE w:val="0"/>
        <w:autoSpaceDN w:val="0"/>
        <w:adjustRightInd w:val="0"/>
        <w:spacing w:after="0" w:line="276" w:lineRule="auto"/>
        <w:ind w:left="1134" w:hanging="567"/>
        <w:jc w:val="both"/>
      </w:pPr>
      <w:r w:rsidRPr="00B74DCE">
        <w:t xml:space="preserve">Deferred </w:t>
      </w:r>
      <w:r w:rsidR="003A5028">
        <w:t xml:space="preserve">rates </w:t>
      </w:r>
      <w:r w:rsidRPr="00B74DCE">
        <w:t>payments</w:t>
      </w:r>
    </w:p>
    <w:p w14:paraId="15B17074" w14:textId="3BE8CB6F" w:rsidR="00340483" w:rsidRPr="00B74DCE" w:rsidRDefault="003A5028" w:rsidP="008B25A7">
      <w:pPr>
        <w:widowControl w:val="0"/>
        <w:numPr>
          <w:ilvl w:val="0"/>
          <w:numId w:val="13"/>
        </w:numPr>
        <w:tabs>
          <w:tab w:val="clear" w:pos="-3060"/>
          <w:tab w:val="clear" w:pos="-2340"/>
          <w:tab w:val="clear" w:pos="6300"/>
        </w:tabs>
        <w:suppressAutoHyphens w:val="0"/>
        <w:autoSpaceDE w:val="0"/>
        <w:autoSpaceDN w:val="0"/>
        <w:adjustRightInd w:val="0"/>
        <w:spacing w:after="0" w:line="276" w:lineRule="auto"/>
        <w:ind w:left="1134" w:hanging="567"/>
        <w:jc w:val="both"/>
      </w:pPr>
      <w:r>
        <w:t>Interest and rates w</w:t>
      </w:r>
      <w:r w:rsidR="00340483" w:rsidRPr="00B74DCE">
        <w:t>aivers for extreme financial hardship circumstances</w:t>
      </w:r>
    </w:p>
    <w:p w14:paraId="0F794C5D" w14:textId="6800EE42" w:rsidR="00573C4C" w:rsidRPr="00B74DCE" w:rsidRDefault="00573C4C" w:rsidP="008B25A7">
      <w:pPr>
        <w:widowControl w:val="0"/>
        <w:numPr>
          <w:ilvl w:val="0"/>
          <w:numId w:val="13"/>
        </w:numPr>
        <w:tabs>
          <w:tab w:val="clear" w:pos="-3060"/>
          <w:tab w:val="clear" w:pos="-2340"/>
          <w:tab w:val="clear" w:pos="6300"/>
        </w:tabs>
        <w:suppressAutoHyphens w:val="0"/>
        <w:autoSpaceDE w:val="0"/>
        <w:autoSpaceDN w:val="0"/>
        <w:adjustRightInd w:val="0"/>
        <w:spacing w:after="0" w:line="276" w:lineRule="auto"/>
        <w:ind w:left="1134" w:hanging="567"/>
        <w:jc w:val="both"/>
      </w:pPr>
      <w:r w:rsidRPr="00B74DCE">
        <w:t xml:space="preserve">Pensioner rebates </w:t>
      </w:r>
      <w:r w:rsidR="003A5028">
        <w:t xml:space="preserve">for rates </w:t>
      </w:r>
      <w:r w:rsidRPr="00B74DCE">
        <w:t>(including a supplementary City of Port Phillip sponsored rate rebate)</w:t>
      </w:r>
    </w:p>
    <w:p w14:paraId="3B7357B0" w14:textId="77777777" w:rsidR="00573C4C" w:rsidRPr="00B74DCE" w:rsidRDefault="00573C4C" w:rsidP="008B25A7">
      <w:pPr>
        <w:widowControl w:val="0"/>
        <w:numPr>
          <w:ilvl w:val="0"/>
          <w:numId w:val="13"/>
        </w:numPr>
        <w:tabs>
          <w:tab w:val="clear" w:pos="-3060"/>
          <w:tab w:val="clear" w:pos="-2340"/>
          <w:tab w:val="clear" w:pos="6300"/>
        </w:tabs>
        <w:suppressAutoHyphens w:val="0"/>
        <w:autoSpaceDE w:val="0"/>
        <w:autoSpaceDN w:val="0"/>
        <w:adjustRightInd w:val="0"/>
        <w:spacing w:after="0" w:line="276" w:lineRule="auto"/>
        <w:ind w:left="1134" w:hanging="567"/>
        <w:jc w:val="both"/>
      </w:pPr>
      <w:r w:rsidRPr="00B74DCE">
        <w:t>A compassionate approach to debt management.</w:t>
      </w:r>
    </w:p>
    <w:p w14:paraId="52F7D4DA" w14:textId="2F0600B9" w:rsidR="00573C4C" w:rsidRPr="00B74DCE" w:rsidRDefault="00573C4C" w:rsidP="008B25A7">
      <w:pPr>
        <w:widowControl w:val="0"/>
        <w:tabs>
          <w:tab w:val="clear" w:pos="-3060"/>
          <w:tab w:val="clear" w:pos="-2340"/>
          <w:tab w:val="clear" w:pos="6300"/>
        </w:tabs>
        <w:autoSpaceDE w:val="0"/>
        <w:autoSpaceDN w:val="0"/>
        <w:adjustRightInd w:val="0"/>
        <w:spacing w:before="120" w:after="60" w:line="276" w:lineRule="auto"/>
        <w:ind w:left="567"/>
        <w:jc w:val="both"/>
      </w:pPr>
      <w:r w:rsidRPr="00B74DCE">
        <w:t>Support for residents who are not property owners will be achieved through a range of social and community support mechanisms.</w:t>
      </w:r>
    </w:p>
    <w:p w14:paraId="382CAC85" w14:textId="6CD12D13" w:rsidR="00217CBD" w:rsidRPr="00B74DCE" w:rsidRDefault="00217CBD"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 xml:space="preserve">The </w:t>
      </w:r>
      <w:r w:rsidR="00D6254B">
        <w:t>Council</w:t>
      </w:r>
      <w:r w:rsidRPr="00B74DCE">
        <w:t xml:space="preserve"> committed to support the provision of affordable housing for “Older Persons” by providing a 50</w:t>
      </w:r>
      <w:r w:rsidR="00C21C29" w:rsidRPr="00B74DCE">
        <w:t xml:space="preserve"> per cent</w:t>
      </w:r>
      <w:r w:rsidRPr="00B74DCE">
        <w:t xml:space="preserve"> rates concession for </w:t>
      </w:r>
      <w:r w:rsidR="00A04D87" w:rsidRPr="00B74DCE">
        <w:t>Public Housing Estates located in the City of Port Phillip managed by the Ministry of Housing.</w:t>
      </w:r>
      <w:r w:rsidR="00C21C29" w:rsidRPr="00B74DCE">
        <w:t xml:space="preserve"> This provides Council the first option to nominate low income, disadvantaged, or inappropriately housed residents of the City of Port Phillip when vacancies become available in these Public Housing Estates.</w:t>
      </w:r>
    </w:p>
    <w:p w14:paraId="08AD87D7" w14:textId="3C150D0B" w:rsidR="00573C4C" w:rsidRPr="00B74DCE"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Non-rateable properties will be required to contribute to services provided by the</w:t>
      </w:r>
      <w:r w:rsidR="00352DB1">
        <w:t xml:space="preserve"> Council </w:t>
      </w:r>
      <w:r w:rsidRPr="00B74DCE">
        <w:t xml:space="preserve">through the payment of </w:t>
      </w:r>
      <w:r w:rsidR="00D50DDE" w:rsidRPr="00B74DCE">
        <w:t xml:space="preserve">waste </w:t>
      </w:r>
      <w:r w:rsidRPr="00B74DCE">
        <w:t>service charge</w:t>
      </w:r>
      <w:r w:rsidR="002C35FC" w:rsidRPr="00B74DCE">
        <w:t>s at full cost</w:t>
      </w:r>
      <w:r w:rsidRPr="00B74DCE">
        <w:t>.</w:t>
      </w:r>
    </w:p>
    <w:p w14:paraId="60A9A535" w14:textId="18A58633" w:rsidR="00A37CC7"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 xml:space="preserve">Properties provided for under the Cultural and Recreational Lands Act 1963 will be </w:t>
      </w:r>
      <w:r w:rsidR="00FE6C69" w:rsidRPr="00B74DCE">
        <w:t xml:space="preserve">provided support </w:t>
      </w:r>
      <w:r w:rsidR="00122A7A" w:rsidRPr="00B74DCE">
        <w:t xml:space="preserve">within the governance of </w:t>
      </w:r>
      <w:r w:rsidR="00C30FD0" w:rsidRPr="00B74DCE">
        <w:t>Council’s Community Funding</w:t>
      </w:r>
      <w:r w:rsidR="00FE6C69" w:rsidRPr="00B74DCE">
        <w:t xml:space="preserve"> </w:t>
      </w:r>
      <w:r w:rsidR="00613180" w:rsidRPr="00B74DCE">
        <w:t>Policy</w:t>
      </w:r>
      <w:r w:rsidR="00FE6C69" w:rsidRPr="00B74DCE">
        <w:t>.  This will achieve a better, more transparent and consistent outcome that aligns with Council’s strategic directions and policies.</w:t>
      </w:r>
    </w:p>
    <w:p w14:paraId="1F165C13" w14:textId="2ADE2BB5" w:rsidR="002D2017" w:rsidRDefault="00573C4C" w:rsidP="008B25A7">
      <w:pPr>
        <w:widowControl w:val="0"/>
        <w:numPr>
          <w:ilvl w:val="0"/>
          <w:numId w:val="12"/>
        </w:numPr>
        <w:tabs>
          <w:tab w:val="clear" w:pos="-3060"/>
          <w:tab w:val="clear" w:pos="-2340"/>
          <w:tab w:val="clear" w:pos="720"/>
          <w:tab w:val="clear" w:pos="6300"/>
        </w:tabs>
        <w:suppressAutoHyphens w:val="0"/>
        <w:autoSpaceDE w:val="0"/>
        <w:autoSpaceDN w:val="0"/>
        <w:adjustRightInd w:val="0"/>
        <w:spacing w:after="60" w:line="276" w:lineRule="auto"/>
        <w:ind w:left="567" w:hanging="567"/>
        <w:jc w:val="both"/>
      </w:pPr>
      <w:r w:rsidRPr="00B74DCE">
        <w:t xml:space="preserve">The Rating Strategy will be reviewed </w:t>
      </w:r>
      <w:r w:rsidR="00B74DCE" w:rsidRPr="008B25A7">
        <w:t>by</w:t>
      </w:r>
      <w:r w:rsidRPr="00B74DCE">
        <w:t xml:space="preserve"> </w:t>
      </w:r>
      <w:r w:rsidR="00116ED7" w:rsidRPr="008B25A7">
        <w:t>30 June following</w:t>
      </w:r>
      <w:r w:rsidR="00B74DCE" w:rsidRPr="008B25A7">
        <w:t xml:space="preserve"> a general council election</w:t>
      </w:r>
      <w:r w:rsidR="008B6098">
        <w:t>.</w:t>
      </w:r>
      <w:r w:rsidR="002D2017">
        <w:br w:type="page"/>
      </w:r>
    </w:p>
    <w:p w14:paraId="55D63E39" w14:textId="54509F27" w:rsidR="00662E02" w:rsidRDefault="00573C4C" w:rsidP="00F16081">
      <w:pPr>
        <w:pStyle w:val="Heading1"/>
      </w:pPr>
      <w:bookmarkStart w:id="72" w:name="_Toc101366845"/>
      <w:r>
        <w:t>Rates based on property valuation</w:t>
      </w:r>
      <w:bookmarkEnd w:id="72"/>
    </w:p>
    <w:p w14:paraId="4C87F699" w14:textId="04830E28" w:rsidR="00573C4C" w:rsidRDefault="00573C4C">
      <w:pPr>
        <w:pStyle w:val="Heading2"/>
        <w:numPr>
          <w:ilvl w:val="1"/>
          <w:numId w:val="14"/>
        </w:numPr>
      </w:pPr>
      <w:bookmarkStart w:id="73" w:name="_Toc101366846"/>
      <w:r>
        <w:t>Property valuation methods</w:t>
      </w:r>
      <w:bookmarkEnd w:id="73"/>
    </w:p>
    <w:p w14:paraId="5EE51DA7" w14:textId="77B21801" w:rsidR="00471981" w:rsidRDefault="00573C4C" w:rsidP="00573C4C">
      <w:pPr>
        <w:widowControl w:val="0"/>
        <w:autoSpaceDE w:val="0"/>
        <w:autoSpaceDN w:val="0"/>
        <w:adjustRightInd w:val="0"/>
        <w:spacing w:line="276" w:lineRule="auto"/>
        <w:jc w:val="both"/>
        <w:rPr>
          <w:lang w:val="en-US"/>
        </w:rPr>
      </w:pPr>
      <w:r>
        <w:rPr>
          <w:lang w:val="en-US"/>
        </w:rPr>
        <w:t xml:space="preserve">There are </w:t>
      </w:r>
      <w:r w:rsidRPr="00573C4C">
        <w:rPr>
          <w:lang w:val="en-US"/>
        </w:rPr>
        <w:t xml:space="preserve">three valuation methods available for councils to value properties for the purposes of raising rates. These are the site value (SV), net annual value (NAV) or capital improved value (CIV) methods. </w:t>
      </w:r>
      <w:r w:rsidR="00471981">
        <w:rPr>
          <w:lang w:val="en-US"/>
        </w:rPr>
        <w:t>The City of Port Phillip</w:t>
      </w:r>
      <w:r w:rsidR="003856B7">
        <w:rPr>
          <w:lang w:val="en-US"/>
        </w:rPr>
        <w:t xml:space="preserve"> proposes to</w:t>
      </w:r>
      <w:r w:rsidRPr="00573C4C">
        <w:rPr>
          <w:lang w:val="en-US"/>
        </w:rPr>
        <w:t xml:space="preserve"> use</w:t>
      </w:r>
      <w:r w:rsidR="003856B7">
        <w:rPr>
          <w:lang w:val="en-US"/>
        </w:rPr>
        <w:t xml:space="preserve"> </w:t>
      </w:r>
      <w:r w:rsidRPr="00573C4C">
        <w:rPr>
          <w:lang w:val="en-US"/>
        </w:rPr>
        <w:t xml:space="preserve">the </w:t>
      </w:r>
      <w:r w:rsidR="003A52B6">
        <w:rPr>
          <w:lang w:val="en-US"/>
        </w:rPr>
        <w:t>CIV</w:t>
      </w:r>
      <w:r w:rsidRPr="00573C4C">
        <w:rPr>
          <w:lang w:val="en-US"/>
        </w:rPr>
        <w:t xml:space="preserve"> method for rating purposes. </w:t>
      </w:r>
    </w:p>
    <w:p w14:paraId="422960D3" w14:textId="6F1DA237" w:rsidR="00573C4C" w:rsidRPr="00573C4C" w:rsidRDefault="00573C4C" w:rsidP="00573C4C">
      <w:pPr>
        <w:widowControl w:val="0"/>
        <w:autoSpaceDE w:val="0"/>
        <w:autoSpaceDN w:val="0"/>
        <w:adjustRightInd w:val="0"/>
        <w:spacing w:line="276" w:lineRule="auto"/>
        <w:jc w:val="both"/>
        <w:rPr>
          <w:lang w:val="en-US"/>
        </w:rPr>
      </w:pPr>
      <w:r w:rsidRPr="00573C4C">
        <w:rPr>
          <w:lang w:val="en-US"/>
        </w:rPr>
        <w:t>The valuation base used for rating purposes does not affect the total level of revenue the Council raises through rates. The total level of rate revenue to be raised by the Council is determined as part of the Council's annual budget setting exercise</w:t>
      </w:r>
      <w:r w:rsidR="000B0FE9">
        <w:rPr>
          <w:lang w:val="en-US"/>
        </w:rPr>
        <w:t xml:space="preserve">, guided by </w:t>
      </w:r>
      <w:r>
        <w:rPr>
          <w:lang w:val="en-US"/>
        </w:rPr>
        <w:t>the rate capping framework.</w:t>
      </w:r>
      <w:r w:rsidRPr="00573C4C">
        <w:rPr>
          <w:lang w:val="en-US"/>
        </w:rPr>
        <w:t xml:space="preserve"> </w:t>
      </w:r>
    </w:p>
    <w:p w14:paraId="34005999" w14:textId="445BCB1D" w:rsidR="00573C4C" w:rsidRPr="00573C4C" w:rsidRDefault="00573C4C" w:rsidP="00573C4C">
      <w:pPr>
        <w:widowControl w:val="0"/>
        <w:autoSpaceDE w:val="0"/>
        <w:autoSpaceDN w:val="0"/>
        <w:adjustRightInd w:val="0"/>
        <w:spacing w:line="276" w:lineRule="auto"/>
        <w:jc w:val="both"/>
        <w:rPr>
          <w:lang w:val="en-US"/>
        </w:rPr>
      </w:pPr>
      <w:r w:rsidRPr="00573C4C">
        <w:rPr>
          <w:lang w:val="en-US"/>
        </w:rPr>
        <w:t>The CIV method refers to the total market value of the land plus the improved value of the property including the house, other buildings and landscaping. Under the CIV method, councils can set differential rates</w:t>
      </w:r>
      <w:r w:rsidR="007F19E4">
        <w:rPr>
          <w:lang w:val="en-US"/>
        </w:rPr>
        <w:t xml:space="preserve">. It is </w:t>
      </w:r>
      <w:r w:rsidR="000107F2">
        <w:rPr>
          <w:lang w:val="en-US"/>
        </w:rPr>
        <w:t>general</w:t>
      </w:r>
      <w:r w:rsidR="007F19E4">
        <w:rPr>
          <w:lang w:val="en-US"/>
        </w:rPr>
        <w:t xml:space="preserve"> recommended that differential rates should be set </w:t>
      </w:r>
      <w:r w:rsidR="000107F2">
        <w:rPr>
          <w:lang w:val="en-US"/>
        </w:rPr>
        <w:t>at</w:t>
      </w:r>
      <w:r w:rsidRPr="00573C4C">
        <w:rPr>
          <w:lang w:val="en-US"/>
        </w:rPr>
        <w:t xml:space="preserve"> </w:t>
      </w:r>
      <w:r w:rsidR="005C4309">
        <w:rPr>
          <w:lang w:val="en-US"/>
        </w:rPr>
        <w:t>a high</w:t>
      </w:r>
      <w:r w:rsidR="007F19E4">
        <w:rPr>
          <w:lang w:val="en-US"/>
        </w:rPr>
        <w:t xml:space="preserve"> broad</w:t>
      </w:r>
      <w:r w:rsidR="005C4309">
        <w:rPr>
          <w:lang w:val="en-US"/>
        </w:rPr>
        <w:t xml:space="preserve"> </w:t>
      </w:r>
      <w:r w:rsidR="002E683C">
        <w:rPr>
          <w:lang w:val="en-US"/>
        </w:rPr>
        <w:t>property class such as</w:t>
      </w:r>
      <w:r w:rsidRPr="00573C4C">
        <w:rPr>
          <w:lang w:val="en-US"/>
        </w:rPr>
        <w:t xml:space="preserve"> residential, commercial and industrial </w:t>
      </w:r>
      <w:r w:rsidR="005C4309">
        <w:rPr>
          <w:lang w:val="en-US"/>
        </w:rPr>
        <w:t>properties</w:t>
      </w:r>
      <w:r w:rsidRPr="00573C4C">
        <w:rPr>
          <w:lang w:val="en-US"/>
        </w:rPr>
        <w:t>.</w:t>
      </w:r>
      <w:r w:rsidR="00151FED">
        <w:rPr>
          <w:lang w:val="en-US"/>
        </w:rPr>
        <w:t xml:space="preserve"> Differential can also be used to </w:t>
      </w:r>
      <w:r w:rsidR="008070CE">
        <w:rPr>
          <w:lang w:val="en-US"/>
        </w:rPr>
        <w:t>achieve council objectives such as incentivise development of derelict land.</w:t>
      </w:r>
      <w:r w:rsidR="0029242B">
        <w:rPr>
          <w:lang w:val="en-US"/>
        </w:rPr>
        <w:t xml:space="preserve">  </w:t>
      </w:r>
      <w:r w:rsidRPr="00573C4C">
        <w:rPr>
          <w:lang w:val="en-US"/>
        </w:rPr>
        <w:t>CIV is the most commonly used rating method in Victoria.</w:t>
      </w:r>
    </w:p>
    <w:p w14:paraId="4492A20B" w14:textId="77777777" w:rsidR="00573C4C" w:rsidRPr="00573C4C" w:rsidRDefault="00573C4C" w:rsidP="00573C4C">
      <w:pPr>
        <w:widowControl w:val="0"/>
        <w:autoSpaceDE w:val="0"/>
        <w:autoSpaceDN w:val="0"/>
        <w:adjustRightInd w:val="0"/>
        <w:spacing w:line="276" w:lineRule="auto"/>
        <w:jc w:val="both"/>
        <w:rPr>
          <w:lang w:val="en-US"/>
        </w:rPr>
      </w:pPr>
      <w:r w:rsidRPr="00573C4C">
        <w:rPr>
          <w:lang w:val="en-US"/>
        </w:rPr>
        <w:t>The SV method values only the unimproved market value of the land.  It is not used by any Victorian councils.</w:t>
      </w:r>
    </w:p>
    <w:p w14:paraId="182CAADE" w14:textId="77777777" w:rsidR="000B0FE9" w:rsidRDefault="00573C4C" w:rsidP="00573C4C">
      <w:pPr>
        <w:jc w:val="both"/>
        <w:rPr>
          <w:lang w:val="en-US"/>
        </w:rPr>
      </w:pPr>
      <w:r w:rsidRPr="00573C4C">
        <w:rPr>
          <w:lang w:val="en-US"/>
        </w:rPr>
        <w:t xml:space="preserve">The NAV method </w:t>
      </w:r>
      <w:r w:rsidR="000B0FE9">
        <w:rPr>
          <w:lang w:val="en-US"/>
        </w:rPr>
        <w:t>refers to the higher value of:</w:t>
      </w:r>
    </w:p>
    <w:p w14:paraId="265BE63C" w14:textId="0D6482CC" w:rsidR="000B0FE9" w:rsidRDefault="00573C4C" w:rsidP="000B0FE9">
      <w:pPr>
        <w:pStyle w:val="ListParagraph"/>
        <w:numPr>
          <w:ilvl w:val="0"/>
          <w:numId w:val="15"/>
        </w:numPr>
        <w:jc w:val="both"/>
        <w:rPr>
          <w:lang w:val="en-US"/>
        </w:rPr>
      </w:pPr>
      <w:r w:rsidRPr="000B0FE9">
        <w:rPr>
          <w:lang w:val="en-US"/>
        </w:rPr>
        <w:t>the annual rental a property would render, less the landlord’s outgoings (such as insurance, land tax and maintenance costs)</w:t>
      </w:r>
      <w:r w:rsidR="000B0FE9">
        <w:rPr>
          <w:lang w:val="en-US"/>
        </w:rPr>
        <w:t xml:space="preserve"> or</w:t>
      </w:r>
    </w:p>
    <w:p w14:paraId="45B959BD" w14:textId="209C1261" w:rsidR="000B0FE9" w:rsidRDefault="00573C4C" w:rsidP="000B0FE9">
      <w:pPr>
        <w:pStyle w:val="ListParagraph"/>
        <w:numPr>
          <w:ilvl w:val="0"/>
          <w:numId w:val="15"/>
        </w:numPr>
        <w:jc w:val="both"/>
        <w:rPr>
          <w:lang w:val="en-US"/>
        </w:rPr>
      </w:pPr>
      <w:r w:rsidRPr="000B0FE9">
        <w:rPr>
          <w:lang w:val="en-US"/>
        </w:rPr>
        <w:t xml:space="preserve">5% of the </w:t>
      </w:r>
      <w:r w:rsidR="000B0FE9">
        <w:rPr>
          <w:lang w:val="en-US"/>
        </w:rPr>
        <w:t>CIV</w:t>
      </w:r>
      <w:r w:rsidR="003C2BBE">
        <w:rPr>
          <w:lang w:val="en-US"/>
        </w:rPr>
        <w:t xml:space="preserve"> (this is the default </w:t>
      </w:r>
      <w:r w:rsidR="00BD41F7">
        <w:rPr>
          <w:lang w:val="en-US"/>
        </w:rPr>
        <w:t xml:space="preserve">calculation </w:t>
      </w:r>
      <w:r w:rsidR="003C2BBE">
        <w:rPr>
          <w:lang w:val="en-US"/>
        </w:rPr>
        <w:t xml:space="preserve">for residential </w:t>
      </w:r>
      <w:r w:rsidR="00BD41F7">
        <w:rPr>
          <w:lang w:val="en-US"/>
        </w:rPr>
        <w:t>properties)</w:t>
      </w:r>
    </w:p>
    <w:p w14:paraId="689E7FC6" w14:textId="729213CA" w:rsidR="00573C4C" w:rsidRDefault="00573C4C" w:rsidP="000B0FE9">
      <w:pPr>
        <w:jc w:val="both"/>
        <w:rPr>
          <w:lang w:val="en-US"/>
        </w:rPr>
      </w:pPr>
      <w:r w:rsidRPr="000B0FE9">
        <w:rPr>
          <w:lang w:val="en-US"/>
        </w:rPr>
        <w:t>The NAV value is higher for commercial/industrial properties and investment properties, typically equating to 7% to 9% of CIV. The NAV method is commonly used by inner Melbourne metropolitan councils</w:t>
      </w:r>
      <w:r w:rsidR="00F77519">
        <w:rPr>
          <w:lang w:val="en-US"/>
        </w:rPr>
        <w:t>.</w:t>
      </w:r>
    </w:p>
    <w:p w14:paraId="61CD675B" w14:textId="1C4DC71C" w:rsidR="000B0FE9" w:rsidRDefault="000B0FE9" w:rsidP="00F16081">
      <w:pPr>
        <w:pStyle w:val="Heading2"/>
      </w:pPr>
      <w:bookmarkStart w:id="74" w:name="_Toc100693694"/>
      <w:bookmarkStart w:id="75" w:name="_Toc101366847"/>
      <w:bookmarkStart w:id="76" w:name="_Toc101366848"/>
      <w:bookmarkEnd w:id="74"/>
      <w:bookmarkEnd w:id="75"/>
      <w:r>
        <w:t>Advantages and disadvantages of valuation methods</w:t>
      </w:r>
      <w:bookmarkEnd w:id="76"/>
    </w:p>
    <w:p w14:paraId="62F91204" w14:textId="77777777" w:rsidR="000B0FE9" w:rsidRPr="000B0FE9" w:rsidRDefault="000B0FE9" w:rsidP="000B0FE9">
      <w:pPr>
        <w:widowControl w:val="0"/>
        <w:autoSpaceDE w:val="0"/>
        <w:autoSpaceDN w:val="0"/>
        <w:adjustRightInd w:val="0"/>
        <w:spacing w:line="276" w:lineRule="auto"/>
        <w:jc w:val="both"/>
        <w:rPr>
          <w:lang w:val="en-US"/>
        </w:rPr>
      </w:pPr>
      <w:r w:rsidRPr="000B0FE9">
        <w:rPr>
          <w:lang w:val="en-US"/>
        </w:rPr>
        <w:t>No property valuation methodology raises more rates than the others. The choice of valuation method relates to the equity (or distribution) of the rates burden impact on the community.</w:t>
      </w:r>
    </w:p>
    <w:p w14:paraId="77ABCC76" w14:textId="77777777" w:rsidR="000B0FE9" w:rsidRPr="000B0FE9" w:rsidRDefault="000B0FE9" w:rsidP="000B0FE9">
      <w:pPr>
        <w:widowControl w:val="0"/>
        <w:autoSpaceDE w:val="0"/>
        <w:autoSpaceDN w:val="0"/>
        <w:adjustRightInd w:val="0"/>
        <w:spacing w:line="276" w:lineRule="auto"/>
        <w:jc w:val="both"/>
        <w:rPr>
          <w:lang w:val="en-US"/>
        </w:rPr>
      </w:pPr>
      <w:r w:rsidRPr="000B0FE9">
        <w:rPr>
          <w:lang w:val="en-US"/>
        </w:rPr>
        <w:t xml:space="preserve">The NAV method uses the value of a property’s market rent to determine the share of rates. The minimum the NAV can be for any property is 5% of its CIV. Given that market rent for commercial and industrial properties are generally higher than market rent for residential properties, the NAV method results in a higher relative percentage of the rates burden being met by commercial and industrial properties, based on information from the rental market. </w:t>
      </w:r>
    </w:p>
    <w:p w14:paraId="5F48DE4F" w14:textId="3F302194" w:rsidR="000B0FE9" w:rsidRDefault="000B0FE9" w:rsidP="000B0FE9">
      <w:pPr>
        <w:jc w:val="both"/>
        <w:rPr>
          <w:lang w:val="en-US"/>
        </w:rPr>
      </w:pPr>
      <w:r w:rsidRPr="000B0FE9">
        <w:rPr>
          <w:lang w:val="en-US"/>
        </w:rPr>
        <w:t>The advantage of the NAV method is that it recognises the end use of properties and the share of the rates burden is set based on market rentals (for which there are many transactions). The higher market rentals for commercial and industrial properties create an ‘in-built’ differential for these types of ratepayers.</w:t>
      </w:r>
    </w:p>
    <w:p w14:paraId="35A14439" w14:textId="77777777" w:rsidR="000B0FE9" w:rsidRPr="000B0FE9" w:rsidRDefault="000B0FE9" w:rsidP="0071525A">
      <w:pPr>
        <w:widowControl w:val="0"/>
        <w:autoSpaceDE w:val="0"/>
        <w:autoSpaceDN w:val="0"/>
        <w:adjustRightInd w:val="0"/>
        <w:spacing w:line="276" w:lineRule="auto"/>
        <w:jc w:val="both"/>
        <w:rPr>
          <w:lang w:val="en-US"/>
        </w:rPr>
      </w:pPr>
      <w:r>
        <w:rPr>
          <w:lang w:val="en-US"/>
        </w:rPr>
        <w:t xml:space="preserve">The CIV method uses the value of recent market sales </w:t>
      </w:r>
      <w:r w:rsidRPr="000B0FE9">
        <w:rPr>
          <w:lang w:val="en-US"/>
        </w:rPr>
        <w:t>to determine the value of the share of rates contribution. This includes consideration of the value of land, buildings and landscaping. The CIV method also allows for the use of differential rates, where rates can be set differently for different classes of ratepayers.</w:t>
      </w:r>
    </w:p>
    <w:p w14:paraId="7FDF8C1A" w14:textId="77777777" w:rsidR="00520741" w:rsidRDefault="000B0FE9" w:rsidP="0071525A">
      <w:pPr>
        <w:widowControl w:val="0"/>
        <w:autoSpaceDE w:val="0"/>
        <w:autoSpaceDN w:val="0"/>
        <w:adjustRightInd w:val="0"/>
        <w:spacing w:line="276" w:lineRule="auto"/>
        <w:jc w:val="both"/>
        <w:rPr>
          <w:lang w:val="en-US"/>
        </w:rPr>
      </w:pPr>
      <w:r w:rsidRPr="000B0FE9">
        <w:rPr>
          <w:lang w:val="en-US"/>
        </w:rPr>
        <w:t>The key advantage</w:t>
      </w:r>
      <w:r w:rsidR="00520741">
        <w:rPr>
          <w:lang w:val="en-US"/>
        </w:rPr>
        <w:t>s</w:t>
      </w:r>
      <w:r w:rsidRPr="000B0FE9">
        <w:rPr>
          <w:lang w:val="en-US"/>
        </w:rPr>
        <w:t xml:space="preserve"> of the CIV method</w:t>
      </w:r>
      <w:r w:rsidR="00520741">
        <w:rPr>
          <w:lang w:val="en-US"/>
        </w:rPr>
        <w:t xml:space="preserve"> are:</w:t>
      </w:r>
    </w:p>
    <w:p w14:paraId="02868795" w14:textId="31C82416" w:rsidR="000B0FE9" w:rsidRDefault="00C82110" w:rsidP="00520741">
      <w:pPr>
        <w:pStyle w:val="ListParagraph"/>
        <w:widowControl w:val="0"/>
        <w:numPr>
          <w:ilvl w:val="0"/>
          <w:numId w:val="27"/>
        </w:numPr>
        <w:autoSpaceDE w:val="0"/>
        <w:autoSpaceDN w:val="0"/>
        <w:adjustRightInd w:val="0"/>
        <w:spacing w:line="276" w:lineRule="auto"/>
        <w:jc w:val="both"/>
        <w:rPr>
          <w:lang w:val="en-US"/>
        </w:rPr>
      </w:pPr>
      <w:r>
        <w:rPr>
          <w:lang w:val="en-US"/>
        </w:rPr>
        <w:t>T</w:t>
      </w:r>
      <w:r w:rsidR="000B0FE9" w:rsidRPr="00F16081">
        <w:rPr>
          <w:lang w:val="en-US"/>
        </w:rPr>
        <w:t xml:space="preserve">he consideration of capital improvements is a better reflection of ratepayer’s investment, therefore may be a better reflection of ratepayer’s ability to pay rates. </w:t>
      </w:r>
    </w:p>
    <w:p w14:paraId="27EEAD2D" w14:textId="1CB00B6B" w:rsidR="00C82110" w:rsidRDefault="00C82110" w:rsidP="00520741">
      <w:pPr>
        <w:pStyle w:val="ListParagraph"/>
        <w:widowControl w:val="0"/>
        <w:numPr>
          <w:ilvl w:val="0"/>
          <w:numId w:val="27"/>
        </w:numPr>
        <w:autoSpaceDE w:val="0"/>
        <w:autoSpaceDN w:val="0"/>
        <w:adjustRightInd w:val="0"/>
        <w:spacing w:line="276" w:lineRule="auto"/>
        <w:jc w:val="both"/>
        <w:rPr>
          <w:lang w:val="en-US"/>
        </w:rPr>
      </w:pPr>
      <w:r>
        <w:rPr>
          <w:lang w:val="en-US"/>
        </w:rPr>
        <w:t xml:space="preserve">It is simpler to understand by our community as it reflects the </w:t>
      </w:r>
      <w:r w:rsidR="009A32DF">
        <w:rPr>
          <w:lang w:val="en-US"/>
        </w:rPr>
        <w:t>market sale price.</w:t>
      </w:r>
    </w:p>
    <w:p w14:paraId="28B2D0DA" w14:textId="032F4059" w:rsidR="009A32DF" w:rsidRPr="00F16081" w:rsidRDefault="009A32DF" w:rsidP="008B25A7">
      <w:pPr>
        <w:pStyle w:val="ListParagraph"/>
        <w:widowControl w:val="0"/>
        <w:numPr>
          <w:ilvl w:val="0"/>
          <w:numId w:val="27"/>
        </w:numPr>
        <w:autoSpaceDE w:val="0"/>
        <w:autoSpaceDN w:val="0"/>
        <w:adjustRightInd w:val="0"/>
        <w:spacing w:line="276" w:lineRule="auto"/>
        <w:jc w:val="both"/>
        <w:rPr>
          <w:lang w:val="en-US"/>
        </w:rPr>
      </w:pPr>
      <w:r>
        <w:rPr>
          <w:lang w:val="en-US"/>
        </w:rPr>
        <w:t>Can use differential rates to adjust</w:t>
      </w:r>
      <w:r w:rsidR="00AA50A7">
        <w:rPr>
          <w:lang w:val="en-US"/>
        </w:rPr>
        <w:t xml:space="preserve"> the</w:t>
      </w:r>
      <w:r>
        <w:rPr>
          <w:lang w:val="en-US"/>
        </w:rPr>
        <w:t xml:space="preserve"> </w:t>
      </w:r>
      <w:r w:rsidR="00322BCE">
        <w:rPr>
          <w:lang w:val="en-US"/>
        </w:rPr>
        <w:t xml:space="preserve">rates pie </w:t>
      </w:r>
      <w:r w:rsidR="00AA50A7">
        <w:rPr>
          <w:lang w:val="en-US"/>
        </w:rPr>
        <w:t xml:space="preserve">distribution </w:t>
      </w:r>
      <w:r w:rsidR="00322BCE">
        <w:rPr>
          <w:lang w:val="en-US"/>
        </w:rPr>
        <w:t xml:space="preserve">so </w:t>
      </w:r>
      <w:r w:rsidR="00ED148B">
        <w:rPr>
          <w:lang w:val="en-US"/>
        </w:rPr>
        <w:t xml:space="preserve">that the </w:t>
      </w:r>
      <w:r w:rsidR="005E3FE7">
        <w:rPr>
          <w:lang w:val="en-US"/>
        </w:rPr>
        <w:t>impact caused by annual valuation movements/shifts to property classes can be reduced.</w:t>
      </w:r>
    </w:p>
    <w:p w14:paraId="005A2345" w14:textId="26AA8E53" w:rsidR="000B0FE9" w:rsidRPr="000B0FE9" w:rsidRDefault="000B0FE9" w:rsidP="0071525A">
      <w:pPr>
        <w:widowControl w:val="0"/>
        <w:autoSpaceDE w:val="0"/>
        <w:autoSpaceDN w:val="0"/>
        <w:adjustRightInd w:val="0"/>
        <w:spacing w:line="276" w:lineRule="auto"/>
        <w:jc w:val="both"/>
        <w:rPr>
          <w:lang w:val="en-US"/>
        </w:rPr>
      </w:pPr>
      <w:r w:rsidRPr="000B0FE9">
        <w:rPr>
          <w:lang w:val="en-US"/>
        </w:rPr>
        <w:t>While offering councils flexibility in rate setting, differential rates are problematic in so far as they are set arbitrarily by councils and therefore can become difficult to justify.</w:t>
      </w:r>
      <w:r w:rsidR="00240307">
        <w:rPr>
          <w:lang w:val="en-US"/>
        </w:rPr>
        <w:t xml:space="preserve"> That said, most councils use differential rating</w:t>
      </w:r>
      <w:r w:rsidR="007132C0">
        <w:rPr>
          <w:lang w:val="en-US"/>
        </w:rPr>
        <w:t>.</w:t>
      </w:r>
    </w:p>
    <w:p w14:paraId="79FA5557" w14:textId="7B3657B9" w:rsidR="00784609" w:rsidRDefault="000B0FE9" w:rsidP="0071525A">
      <w:pPr>
        <w:jc w:val="both"/>
        <w:rPr>
          <w:lang w:val="en-US"/>
        </w:rPr>
      </w:pPr>
      <w:r w:rsidRPr="000B0FE9">
        <w:rPr>
          <w:lang w:val="en-US"/>
        </w:rPr>
        <w:t>The SV method is based on the value of the land portion of any property and is therefore influenced by location, view and aspect. The method is a relatively poor reflection of a ratepayer</w:t>
      </w:r>
      <w:r w:rsidR="00784609">
        <w:rPr>
          <w:lang w:val="en-US"/>
        </w:rPr>
        <w:t>’</w:t>
      </w:r>
      <w:r w:rsidRPr="000B0FE9">
        <w:rPr>
          <w:lang w:val="en-US"/>
        </w:rPr>
        <w:t>s ability to pay rates, compared to NAV and CIV.</w:t>
      </w:r>
    </w:p>
    <w:p w14:paraId="6ED0614B" w14:textId="7B17C00E" w:rsidR="00784609" w:rsidRDefault="00784609" w:rsidP="00F16081">
      <w:pPr>
        <w:pStyle w:val="Heading2"/>
      </w:pPr>
      <w:bookmarkStart w:id="77" w:name="_Toc101366849"/>
      <w:r>
        <w:t>Property valuation method adopted</w:t>
      </w:r>
      <w:bookmarkEnd w:id="77"/>
    </w:p>
    <w:p w14:paraId="66D4E528" w14:textId="1E020B51" w:rsidR="00784609" w:rsidRPr="00784609" w:rsidRDefault="00784609" w:rsidP="00784609">
      <w:pPr>
        <w:rPr>
          <w:lang w:val="en-US"/>
        </w:rPr>
      </w:pPr>
      <w:r>
        <w:rPr>
          <w:lang w:val="en-US"/>
        </w:rPr>
        <w:t>Based on the relative merits of the respective valuation methods, the Ci</w:t>
      </w:r>
      <w:r w:rsidR="00433137">
        <w:rPr>
          <w:lang w:val="en-US"/>
        </w:rPr>
        <w:t>t</w:t>
      </w:r>
      <w:r>
        <w:rPr>
          <w:lang w:val="en-US"/>
        </w:rPr>
        <w:t xml:space="preserve">y of Port Phillip deems that the </w:t>
      </w:r>
      <w:r w:rsidR="00433137">
        <w:rPr>
          <w:lang w:val="en-US"/>
        </w:rPr>
        <w:t>CI</w:t>
      </w:r>
      <w:r>
        <w:rPr>
          <w:lang w:val="en-US"/>
        </w:rPr>
        <w:t xml:space="preserve">V </w:t>
      </w:r>
      <w:r w:rsidR="008C679E">
        <w:rPr>
          <w:lang w:val="en-US"/>
        </w:rPr>
        <w:t xml:space="preserve">with differential rates </w:t>
      </w:r>
      <w:r>
        <w:rPr>
          <w:lang w:val="en-US"/>
        </w:rPr>
        <w:t>is the most appropriate valuation method to use as a basis for distribution of rates in the municipality.</w:t>
      </w:r>
    </w:p>
    <w:tbl>
      <w:tblPr>
        <w:tblStyle w:val="TableGrid"/>
        <w:tblW w:w="0" w:type="auto"/>
        <w:shd w:val="clear" w:color="auto" w:fill="0090A3"/>
        <w:tblLook w:val="04A0" w:firstRow="1" w:lastRow="0" w:firstColumn="1" w:lastColumn="0" w:noHBand="0" w:noVBand="1"/>
      </w:tblPr>
      <w:tblGrid>
        <w:gridCol w:w="9628"/>
      </w:tblGrid>
      <w:tr w:rsidR="00784609" w:rsidRPr="001330CB" w14:paraId="146C1D95" w14:textId="77777777" w:rsidTr="00784609">
        <w:tc>
          <w:tcPr>
            <w:tcW w:w="10109" w:type="dxa"/>
            <w:shd w:val="clear" w:color="auto" w:fill="0090A3"/>
          </w:tcPr>
          <w:p w14:paraId="67BDCED4" w14:textId="41EBC2A4" w:rsidR="00784609" w:rsidRPr="001330CB" w:rsidRDefault="00784609" w:rsidP="001330CB">
            <w:pPr>
              <w:widowControl w:val="0"/>
              <w:autoSpaceDE w:val="0"/>
              <w:autoSpaceDN w:val="0"/>
              <w:adjustRightInd w:val="0"/>
              <w:spacing w:line="276" w:lineRule="auto"/>
              <w:jc w:val="both"/>
              <w:rPr>
                <w:color w:val="FFFFFF" w:themeColor="background1"/>
                <w:sz w:val="24"/>
                <w:highlight w:val="red"/>
                <w:lang w:val="en-GB"/>
              </w:rPr>
            </w:pPr>
            <w:bookmarkStart w:id="78" w:name="_Hlk511218062"/>
            <w:r w:rsidRPr="001330CB">
              <w:rPr>
                <w:b/>
                <w:color w:val="FFFFFF" w:themeColor="background1"/>
                <w:sz w:val="24"/>
                <w:lang w:val="en-GB"/>
              </w:rPr>
              <w:t>Rating Principle 1</w:t>
            </w:r>
          </w:p>
          <w:p w14:paraId="63DC45BC" w14:textId="774C24A4" w:rsidR="00784609" w:rsidRPr="001330CB" w:rsidRDefault="00AE1DF3" w:rsidP="001330CB">
            <w:pPr>
              <w:widowControl w:val="0"/>
              <w:autoSpaceDE w:val="0"/>
              <w:autoSpaceDN w:val="0"/>
              <w:adjustRightInd w:val="0"/>
              <w:spacing w:line="276" w:lineRule="auto"/>
              <w:jc w:val="both"/>
              <w:rPr>
                <w:color w:val="FFFFFF" w:themeColor="background1"/>
                <w:sz w:val="24"/>
                <w:highlight w:val="red"/>
                <w:lang w:val="en-GB"/>
              </w:rPr>
            </w:pPr>
            <w:r>
              <w:rPr>
                <w:color w:val="FFFFFF" w:themeColor="background1"/>
                <w:sz w:val="24"/>
                <w:lang w:val="en-GB"/>
              </w:rPr>
              <w:t>We</w:t>
            </w:r>
            <w:r w:rsidR="00784609" w:rsidRPr="001330CB">
              <w:rPr>
                <w:color w:val="FFFFFF" w:themeColor="background1"/>
                <w:sz w:val="24"/>
                <w:lang w:val="en-GB"/>
              </w:rPr>
              <w:t xml:space="preserve"> will levy rates consistent with a ratepayer’s ability to pay, as measured by the </w:t>
            </w:r>
            <w:r w:rsidR="008C679E">
              <w:rPr>
                <w:color w:val="FFFFFF" w:themeColor="background1"/>
                <w:sz w:val="24"/>
                <w:lang w:val="en-GB"/>
              </w:rPr>
              <w:t>Capital Improved Valu</w:t>
            </w:r>
            <w:r w:rsidR="00784609" w:rsidRPr="001330CB">
              <w:rPr>
                <w:color w:val="FFFFFF" w:themeColor="background1"/>
                <w:sz w:val="24"/>
                <w:lang w:val="en-GB"/>
              </w:rPr>
              <w:t>e of property owned within the municipality.</w:t>
            </w:r>
            <w:r w:rsidR="00537D43">
              <w:rPr>
                <w:color w:val="FFFFFF" w:themeColor="background1"/>
                <w:sz w:val="24"/>
                <w:lang w:val="en-GB"/>
              </w:rPr>
              <w:t xml:space="preserve"> </w:t>
            </w:r>
          </w:p>
        </w:tc>
      </w:tr>
      <w:bookmarkEnd w:id="78"/>
    </w:tbl>
    <w:p w14:paraId="72ED4DD5" w14:textId="1ABECAD8" w:rsidR="00784609" w:rsidRDefault="00784609" w:rsidP="000B0FE9">
      <w:pPr>
        <w:jc w:val="both"/>
        <w:rPr>
          <w:lang w:val="en-US"/>
        </w:rPr>
      </w:pPr>
    </w:p>
    <w:p w14:paraId="1BC1E3FD" w14:textId="673DBE0A" w:rsidR="00DE4938" w:rsidRDefault="00A1000E" w:rsidP="00DE4938">
      <w:pPr>
        <w:pStyle w:val="Heading2"/>
      </w:pPr>
      <w:bookmarkStart w:id="79" w:name="_Toc101366850"/>
      <w:r>
        <w:t>Use of differential ratings</w:t>
      </w:r>
      <w:bookmarkEnd w:id="79"/>
    </w:p>
    <w:p w14:paraId="5F8F5DD9" w14:textId="4C4FF2EC" w:rsidR="00FE4BFD" w:rsidRDefault="00FE4BFD" w:rsidP="00FE4BFD">
      <w:pPr>
        <w:jc w:val="both"/>
        <w:rPr>
          <w:lang w:val="en-US"/>
        </w:rPr>
      </w:pPr>
      <w:r>
        <w:rPr>
          <w:lang w:val="en-US"/>
        </w:rPr>
        <w:t>Regardless of the property valuation methodologies adopted by Council, the annual general property valuation will often result</w:t>
      </w:r>
      <w:r w:rsidR="00457F3D">
        <w:rPr>
          <w:lang w:val="en-US"/>
        </w:rPr>
        <w:t xml:space="preserve"> in varied </w:t>
      </w:r>
      <w:r w:rsidR="00167455">
        <w:rPr>
          <w:lang w:val="en-US"/>
        </w:rPr>
        <w:t>movements at</w:t>
      </w:r>
      <w:r w:rsidR="00457F3D">
        <w:rPr>
          <w:lang w:val="en-US"/>
        </w:rPr>
        <w:t xml:space="preserve"> </w:t>
      </w:r>
      <w:r w:rsidR="00167455">
        <w:rPr>
          <w:lang w:val="en-US"/>
        </w:rPr>
        <w:t xml:space="preserve">the </w:t>
      </w:r>
      <w:r w:rsidR="00457F3D">
        <w:rPr>
          <w:lang w:val="en-US"/>
        </w:rPr>
        <w:t>prop</w:t>
      </w:r>
      <w:r w:rsidR="00167455">
        <w:rPr>
          <w:lang w:val="en-US"/>
        </w:rPr>
        <w:t xml:space="preserve">er class level (residential, commercial, industrial) and </w:t>
      </w:r>
      <w:r w:rsidR="00F65162">
        <w:rPr>
          <w:lang w:val="en-US"/>
        </w:rPr>
        <w:t xml:space="preserve">property </w:t>
      </w:r>
      <w:r w:rsidR="00526F7A">
        <w:rPr>
          <w:lang w:val="en-US"/>
        </w:rPr>
        <w:t>types</w:t>
      </w:r>
      <w:r w:rsidR="00F65162">
        <w:rPr>
          <w:lang w:val="en-US"/>
        </w:rPr>
        <w:t xml:space="preserve"> </w:t>
      </w:r>
      <w:r w:rsidR="00167455">
        <w:rPr>
          <w:lang w:val="en-US"/>
        </w:rPr>
        <w:t xml:space="preserve">within </w:t>
      </w:r>
      <w:r w:rsidR="00F65162">
        <w:rPr>
          <w:lang w:val="en-US"/>
        </w:rPr>
        <w:t>a</w:t>
      </w:r>
      <w:r>
        <w:rPr>
          <w:lang w:val="en-US"/>
        </w:rPr>
        <w:t xml:space="preserve"> </w:t>
      </w:r>
      <w:r w:rsidR="00F65162">
        <w:rPr>
          <w:lang w:val="en-US"/>
        </w:rPr>
        <w:t>property class</w:t>
      </w:r>
      <w:r w:rsidR="00257B4F">
        <w:rPr>
          <w:lang w:val="en-US"/>
        </w:rPr>
        <w:t xml:space="preserve"> (such as houses, units, flats in the residential class)</w:t>
      </w:r>
      <w:r>
        <w:rPr>
          <w:lang w:val="en-US"/>
        </w:rPr>
        <w:t>. These shift</w:t>
      </w:r>
      <w:r w:rsidR="002B594F">
        <w:rPr>
          <w:lang w:val="en-US"/>
        </w:rPr>
        <w:t>s</w:t>
      </w:r>
      <w:r>
        <w:rPr>
          <w:lang w:val="en-US"/>
        </w:rPr>
        <w:t xml:space="preserve"> could </w:t>
      </w:r>
      <w:r w:rsidR="002B594F">
        <w:rPr>
          <w:lang w:val="en-US"/>
        </w:rPr>
        <w:t>occur in one valuation year or over multiples year.</w:t>
      </w:r>
    </w:p>
    <w:p w14:paraId="468BD3F4" w14:textId="7E45BBC9" w:rsidR="00C02682" w:rsidRDefault="00487EE8">
      <w:pPr>
        <w:jc w:val="both"/>
        <w:rPr>
          <w:lang w:val="en-US"/>
        </w:rPr>
      </w:pPr>
      <w:r>
        <w:rPr>
          <w:lang w:val="en-US"/>
        </w:rPr>
        <w:t xml:space="preserve">Differential ratings can address </w:t>
      </w:r>
      <w:r w:rsidR="00686B81">
        <w:rPr>
          <w:lang w:val="en-US"/>
        </w:rPr>
        <w:t xml:space="preserve">rates </w:t>
      </w:r>
      <w:r>
        <w:rPr>
          <w:lang w:val="en-US"/>
        </w:rPr>
        <w:t>shifts</w:t>
      </w:r>
      <w:r w:rsidR="00686B81">
        <w:rPr>
          <w:lang w:val="en-US"/>
        </w:rPr>
        <w:t xml:space="preserve"> cause</w:t>
      </w:r>
      <w:r w:rsidR="0055308C">
        <w:rPr>
          <w:lang w:val="en-US"/>
        </w:rPr>
        <w:t>d</w:t>
      </w:r>
      <w:r w:rsidR="00686B81">
        <w:rPr>
          <w:lang w:val="en-US"/>
        </w:rPr>
        <w:t xml:space="preserve"> by </w:t>
      </w:r>
      <w:r w:rsidR="00FA3817">
        <w:rPr>
          <w:lang w:val="en-US"/>
        </w:rPr>
        <w:t xml:space="preserve">the annual </w:t>
      </w:r>
      <w:r w:rsidR="00686B81">
        <w:rPr>
          <w:lang w:val="en-US"/>
        </w:rPr>
        <w:t>property valuation</w:t>
      </w:r>
      <w:r w:rsidR="00FA3817">
        <w:rPr>
          <w:lang w:val="en-US"/>
        </w:rPr>
        <w:t>.</w:t>
      </w:r>
      <w:r w:rsidR="00AD2B23">
        <w:rPr>
          <w:lang w:val="en-US"/>
        </w:rPr>
        <w:t xml:space="preserve"> This is done by increasing or decreas</w:t>
      </w:r>
      <w:r w:rsidR="002A4E19">
        <w:rPr>
          <w:lang w:val="en-US"/>
        </w:rPr>
        <w:t>ing</w:t>
      </w:r>
      <w:r w:rsidR="00AD2B23">
        <w:rPr>
          <w:lang w:val="en-US"/>
        </w:rPr>
        <w:t xml:space="preserve"> the differential </w:t>
      </w:r>
      <w:r w:rsidR="002A4E19">
        <w:rPr>
          <w:lang w:val="en-US"/>
        </w:rPr>
        <w:t xml:space="preserve">ratings </w:t>
      </w:r>
      <w:r w:rsidR="00AB51FE">
        <w:rPr>
          <w:lang w:val="en-US"/>
        </w:rPr>
        <w:t xml:space="preserve">taking into consideration of the impacts casued by </w:t>
      </w:r>
      <w:r w:rsidR="002A4E19">
        <w:rPr>
          <w:lang w:val="en-US"/>
        </w:rPr>
        <w:t>the annual property valuation</w:t>
      </w:r>
      <w:r w:rsidR="00AB51FE">
        <w:rPr>
          <w:lang w:val="en-US"/>
        </w:rPr>
        <w:t xml:space="preserve">.  Below chart highlights the </w:t>
      </w:r>
      <w:r w:rsidR="00C02682">
        <w:rPr>
          <w:lang w:val="en-US"/>
        </w:rPr>
        <w:t xml:space="preserve">differential rates </w:t>
      </w:r>
      <w:r w:rsidR="002C42BB">
        <w:rPr>
          <w:lang w:val="en-US"/>
        </w:rPr>
        <w:t>over the last 6 property valuations.</w:t>
      </w:r>
    </w:p>
    <w:p w14:paraId="6588B3A0" w14:textId="60716875" w:rsidR="00A878DF" w:rsidRDefault="00C02682" w:rsidP="000B0FE9">
      <w:pPr>
        <w:jc w:val="both"/>
        <w:rPr>
          <w:lang w:val="en-US"/>
        </w:rPr>
      </w:pPr>
      <w:r>
        <w:rPr>
          <w:lang w:val="en-US"/>
        </w:rPr>
        <w:drawing>
          <wp:inline distT="0" distB="0" distL="0" distR="0" wp14:anchorId="0ED30902" wp14:editId="77928011">
            <wp:extent cx="613503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760" cy="2828927"/>
                    </a:xfrm>
                    <a:prstGeom prst="rect">
                      <a:avLst/>
                    </a:prstGeom>
                    <a:noFill/>
                  </pic:spPr>
                </pic:pic>
              </a:graphicData>
            </a:graphic>
          </wp:inline>
        </w:drawing>
      </w:r>
    </w:p>
    <w:p w14:paraId="1C3D83EC" w14:textId="77777777" w:rsidR="00332DBE" w:rsidRDefault="0068258F" w:rsidP="000B0FE9">
      <w:pPr>
        <w:jc w:val="both"/>
        <w:rPr>
          <w:lang w:val="en-US"/>
        </w:rPr>
      </w:pPr>
      <w:r>
        <w:rPr>
          <w:lang w:val="en-US"/>
        </w:rPr>
        <w:t xml:space="preserve">Capacity to pay </w:t>
      </w:r>
      <w:r w:rsidR="007A4EA6">
        <w:rPr>
          <w:lang w:val="en-US"/>
        </w:rPr>
        <w:t xml:space="preserve">is </w:t>
      </w:r>
      <w:r>
        <w:rPr>
          <w:lang w:val="en-US"/>
        </w:rPr>
        <w:t xml:space="preserve">one </w:t>
      </w:r>
      <w:r w:rsidR="00622FFA">
        <w:rPr>
          <w:lang w:val="en-US"/>
        </w:rPr>
        <w:t xml:space="preserve">key principle for </w:t>
      </w:r>
      <w:r w:rsidR="000520B1">
        <w:rPr>
          <w:lang w:val="en-US"/>
        </w:rPr>
        <w:t xml:space="preserve">setting the right levels of </w:t>
      </w:r>
      <w:r w:rsidR="00887031">
        <w:rPr>
          <w:lang w:val="en-US"/>
        </w:rPr>
        <w:t>differential rating</w:t>
      </w:r>
      <w:r>
        <w:rPr>
          <w:lang w:val="en-US"/>
        </w:rPr>
        <w:t xml:space="preserve">. </w:t>
      </w:r>
    </w:p>
    <w:p w14:paraId="61AA3B3A" w14:textId="597727F6" w:rsidR="00DC5DA9" w:rsidRDefault="00B65820" w:rsidP="000B0FE9">
      <w:pPr>
        <w:jc w:val="both"/>
        <w:rPr>
          <w:lang w:val="en-US"/>
        </w:rPr>
      </w:pPr>
      <w:r>
        <w:rPr>
          <w:lang w:val="en-US"/>
        </w:rPr>
        <w:t>One could argue that r</w:t>
      </w:r>
      <w:r w:rsidR="00C96177">
        <w:rPr>
          <w:lang w:val="en-US"/>
        </w:rPr>
        <w:t>ate</w:t>
      </w:r>
      <w:r w:rsidR="00F12419">
        <w:rPr>
          <w:lang w:val="en-US"/>
        </w:rPr>
        <w:t>s payable on</w:t>
      </w:r>
      <w:r w:rsidR="00C96177">
        <w:rPr>
          <w:lang w:val="en-US"/>
        </w:rPr>
        <w:t xml:space="preserve"> n</w:t>
      </w:r>
      <w:r w:rsidR="0068258F">
        <w:rPr>
          <w:lang w:val="en-US"/>
        </w:rPr>
        <w:t>on-residential propert</w:t>
      </w:r>
      <w:r w:rsidR="00F12419">
        <w:rPr>
          <w:lang w:val="en-US"/>
        </w:rPr>
        <w:t>ies are tax deductible</w:t>
      </w:r>
      <w:r w:rsidR="00DB683B">
        <w:rPr>
          <w:lang w:val="en-US"/>
        </w:rPr>
        <w:t xml:space="preserve"> at the minimum of the company tax rate, currently 25%</w:t>
      </w:r>
      <w:r w:rsidR="00F12419">
        <w:rPr>
          <w:lang w:val="en-US"/>
        </w:rPr>
        <w:t>.</w:t>
      </w:r>
      <w:r w:rsidR="00DB683B">
        <w:rPr>
          <w:lang w:val="en-US"/>
        </w:rPr>
        <w:t xml:space="preserve">  </w:t>
      </w:r>
      <w:r w:rsidR="000520B1">
        <w:rPr>
          <w:lang w:val="en-US"/>
        </w:rPr>
        <w:t>Therefore, n</w:t>
      </w:r>
      <w:r w:rsidR="0077783A">
        <w:rPr>
          <w:lang w:val="en-US"/>
        </w:rPr>
        <w:t xml:space="preserve">on-residential have a 25% </w:t>
      </w:r>
      <w:r w:rsidR="001251E9">
        <w:rPr>
          <w:lang w:val="en-US"/>
        </w:rPr>
        <w:t>better</w:t>
      </w:r>
      <w:r w:rsidR="0077783A">
        <w:rPr>
          <w:lang w:val="en-US"/>
        </w:rPr>
        <w:t xml:space="preserve"> capacity to pay. </w:t>
      </w:r>
      <w:r w:rsidR="007A058B">
        <w:rPr>
          <w:lang w:val="en-US"/>
        </w:rPr>
        <w:t xml:space="preserve"> That being the case, it would be fair </w:t>
      </w:r>
      <w:r w:rsidR="008B21D7">
        <w:rPr>
          <w:lang w:val="en-US"/>
        </w:rPr>
        <w:t xml:space="preserve">that </w:t>
      </w:r>
      <w:r w:rsidR="007A058B">
        <w:rPr>
          <w:lang w:val="en-US"/>
        </w:rPr>
        <w:t>differential rates</w:t>
      </w:r>
      <w:r w:rsidR="00DC5DA9">
        <w:rPr>
          <w:lang w:val="en-US"/>
        </w:rPr>
        <w:t xml:space="preserve"> for</w:t>
      </w:r>
      <w:r w:rsidR="00B754CA">
        <w:rPr>
          <w:lang w:val="en-US"/>
        </w:rPr>
        <w:t xml:space="preserve"> non-residential properties </w:t>
      </w:r>
      <w:r w:rsidR="008B21D7">
        <w:rPr>
          <w:lang w:val="en-US"/>
        </w:rPr>
        <w:t xml:space="preserve">be </w:t>
      </w:r>
      <w:r w:rsidR="007A058B">
        <w:rPr>
          <w:lang w:val="en-US"/>
        </w:rPr>
        <w:t>set</w:t>
      </w:r>
      <w:r w:rsidR="006D3CD7">
        <w:rPr>
          <w:lang w:val="en-US"/>
        </w:rPr>
        <w:t xml:space="preserve"> </w:t>
      </w:r>
      <w:r w:rsidR="007A058B">
        <w:rPr>
          <w:lang w:val="en-US"/>
        </w:rPr>
        <w:t>up to</w:t>
      </w:r>
      <w:r w:rsidR="008B21D7">
        <w:rPr>
          <w:lang w:val="en-US"/>
        </w:rPr>
        <w:t xml:space="preserve"> a ceiling of</w:t>
      </w:r>
      <w:r w:rsidR="007A058B">
        <w:rPr>
          <w:lang w:val="en-US"/>
        </w:rPr>
        <w:t xml:space="preserve"> 25% premium </w:t>
      </w:r>
      <w:r w:rsidR="006D3CD7">
        <w:rPr>
          <w:lang w:val="en-US"/>
        </w:rPr>
        <w:t>on reside</w:t>
      </w:r>
      <w:r w:rsidR="008B21D7">
        <w:rPr>
          <w:lang w:val="en-US"/>
        </w:rPr>
        <w:t>ntial properties</w:t>
      </w:r>
      <w:r w:rsidR="001378B5">
        <w:rPr>
          <w:lang w:val="en-US"/>
        </w:rPr>
        <w:t>.</w:t>
      </w:r>
    </w:p>
    <w:p w14:paraId="0ACC56BC" w14:textId="171243B2" w:rsidR="00DC5DA9" w:rsidRDefault="00C32EC8" w:rsidP="000B0FE9">
      <w:pPr>
        <w:jc w:val="both"/>
        <w:rPr>
          <w:lang w:val="en-US"/>
        </w:rPr>
      </w:pPr>
      <w:r>
        <w:rPr>
          <w:lang w:val="en-US"/>
        </w:rPr>
        <w:t xml:space="preserve">One could also argue that the rental yield for </w:t>
      </w:r>
      <w:r w:rsidR="00F342C1" w:rsidRPr="00A813B3">
        <w:rPr>
          <w:lang w:val="en-US"/>
        </w:rPr>
        <w:t xml:space="preserve">commercial </w:t>
      </w:r>
      <w:r w:rsidR="00D9181C">
        <w:rPr>
          <w:lang w:val="en-US"/>
        </w:rPr>
        <w:t xml:space="preserve">and </w:t>
      </w:r>
      <w:r w:rsidR="006F728F" w:rsidRPr="00A813B3">
        <w:rPr>
          <w:lang w:val="en-US"/>
        </w:rPr>
        <w:t>industrial propert</w:t>
      </w:r>
      <w:r w:rsidR="00D9181C">
        <w:rPr>
          <w:lang w:val="en-US"/>
        </w:rPr>
        <w:t xml:space="preserve">ies </w:t>
      </w:r>
      <w:r w:rsidR="00D37D84">
        <w:rPr>
          <w:lang w:val="en-US"/>
        </w:rPr>
        <w:t xml:space="preserve">are generally much higher than residential properties. That being the case, commercial and industrial properties should pay </w:t>
      </w:r>
      <w:r w:rsidR="00FE68E8">
        <w:rPr>
          <w:lang w:val="en-US"/>
        </w:rPr>
        <w:t>higher rates.</w:t>
      </w:r>
      <w:r w:rsidR="002B74D3" w:rsidRPr="00A813B3">
        <w:rPr>
          <w:lang w:val="en-US"/>
        </w:rPr>
        <w:t xml:space="preserve"> </w:t>
      </w:r>
      <w:r w:rsidR="00C37543" w:rsidRPr="00A813B3">
        <w:rPr>
          <w:lang w:val="en-US"/>
        </w:rPr>
        <w:t xml:space="preserve"> </w:t>
      </w:r>
    </w:p>
    <w:p w14:paraId="32BBC0BB" w14:textId="4702921B" w:rsidR="00FB21FD" w:rsidRDefault="00FB21FD" w:rsidP="000B0FE9">
      <w:pPr>
        <w:jc w:val="both"/>
        <w:rPr>
          <w:lang w:val="en-US"/>
        </w:rPr>
      </w:pPr>
      <w:r>
        <w:rPr>
          <w:lang w:val="en-US"/>
        </w:rPr>
        <w:t>Differentia</w:t>
      </w:r>
      <w:r w:rsidR="006C39F7">
        <w:rPr>
          <w:lang w:val="en-US"/>
        </w:rPr>
        <w:t>l rating can be an instrument to assist with the development of our City. This includes higher rat</w:t>
      </w:r>
      <w:r w:rsidR="007C3FE9">
        <w:rPr>
          <w:lang w:val="en-US"/>
        </w:rPr>
        <w:t xml:space="preserve">es for vacant or derelict land, </w:t>
      </w:r>
      <w:r w:rsidR="00A1754C">
        <w:rPr>
          <w:lang w:val="en-US"/>
        </w:rPr>
        <w:t>cultural and recreational land</w:t>
      </w:r>
      <w:r w:rsidR="002677C4">
        <w:rPr>
          <w:lang w:val="en-US"/>
        </w:rPr>
        <w:t xml:space="preserve">. </w:t>
      </w:r>
    </w:p>
    <w:tbl>
      <w:tblPr>
        <w:tblStyle w:val="TableGrid"/>
        <w:tblW w:w="0" w:type="auto"/>
        <w:shd w:val="clear" w:color="auto" w:fill="0090A3"/>
        <w:tblLook w:val="04A0" w:firstRow="1" w:lastRow="0" w:firstColumn="1" w:lastColumn="0" w:noHBand="0" w:noVBand="1"/>
      </w:tblPr>
      <w:tblGrid>
        <w:gridCol w:w="9628"/>
      </w:tblGrid>
      <w:tr w:rsidR="00A50B0B" w14:paraId="46FB4F16" w14:textId="77777777" w:rsidTr="008B25A7">
        <w:tc>
          <w:tcPr>
            <w:tcW w:w="9628" w:type="dxa"/>
            <w:shd w:val="clear" w:color="auto" w:fill="0090A3"/>
          </w:tcPr>
          <w:p w14:paraId="5224AF67" w14:textId="77777777" w:rsidR="00A50B0B" w:rsidRPr="001330CB" w:rsidRDefault="00A50B0B" w:rsidP="00A50B0B">
            <w:pPr>
              <w:widowControl w:val="0"/>
              <w:shd w:val="clear" w:color="auto" w:fill="0090A3"/>
              <w:autoSpaceDE w:val="0"/>
              <w:autoSpaceDN w:val="0"/>
              <w:adjustRightInd w:val="0"/>
              <w:spacing w:line="276" w:lineRule="auto"/>
              <w:jc w:val="both"/>
              <w:rPr>
                <w:color w:val="FFFFFF" w:themeColor="background1"/>
                <w:sz w:val="24"/>
                <w:highlight w:val="red"/>
                <w:lang w:val="en-GB"/>
              </w:rPr>
            </w:pPr>
            <w:r w:rsidRPr="001330CB">
              <w:rPr>
                <w:b/>
                <w:color w:val="FFFFFF" w:themeColor="background1"/>
                <w:sz w:val="24"/>
                <w:lang w:val="en-GB"/>
              </w:rPr>
              <w:t xml:space="preserve">Rating Principle </w:t>
            </w:r>
            <w:r>
              <w:rPr>
                <w:b/>
                <w:color w:val="FFFFFF" w:themeColor="background1"/>
                <w:sz w:val="24"/>
                <w:lang w:val="en-GB"/>
              </w:rPr>
              <w:t>2</w:t>
            </w:r>
          </w:p>
          <w:p w14:paraId="420EA5CC" w14:textId="6469D390" w:rsidR="00A50B0B" w:rsidRDefault="00A50B0B" w:rsidP="00A50B0B">
            <w:pPr>
              <w:jc w:val="both"/>
              <w:rPr>
                <w:lang w:val="en-US"/>
              </w:rPr>
            </w:pPr>
            <w:r>
              <w:rPr>
                <w:color w:val="FFFFFF" w:themeColor="background1"/>
                <w:sz w:val="24"/>
                <w:lang w:val="en-GB"/>
              </w:rPr>
              <w:t xml:space="preserve">A </w:t>
            </w:r>
            <w:r w:rsidRPr="008C1F5E">
              <w:rPr>
                <w:color w:val="FFFFFF" w:themeColor="background1"/>
                <w:sz w:val="24"/>
                <w:lang w:val="en-GB"/>
              </w:rPr>
              <w:t xml:space="preserve">higher differential </w:t>
            </w:r>
            <w:r w:rsidRPr="00A35F57">
              <w:rPr>
                <w:color w:val="FFFFFF" w:themeColor="background1"/>
                <w:sz w:val="24"/>
                <w:lang w:val="en-GB"/>
              </w:rPr>
              <w:t xml:space="preserve">rate will be set </w:t>
            </w:r>
            <w:r w:rsidRPr="002C5C74">
              <w:rPr>
                <w:color w:val="FFFFFF" w:themeColor="background1"/>
                <w:sz w:val="24"/>
                <w:lang w:val="en-GB"/>
              </w:rPr>
              <w:t xml:space="preserve">for commercial and industrial properties compared to residential properties. </w:t>
            </w:r>
            <w:r w:rsidRPr="00A35F57">
              <w:rPr>
                <w:color w:val="FFFFFF" w:themeColor="background1"/>
                <w:sz w:val="24"/>
                <w:lang w:val="en-GB"/>
              </w:rPr>
              <w:t>This reflects an objective to maintain fairness and relative consistency in the distribution of rates between property classes as well as the taxation and higher rental yield benefits generally available to owners of these types of propertie</w:t>
            </w:r>
            <w:r>
              <w:rPr>
                <w:color w:val="FFFFFF" w:themeColor="background1"/>
                <w:sz w:val="24"/>
                <w:lang w:val="en-GB"/>
              </w:rPr>
              <w:t>s.</w:t>
            </w:r>
          </w:p>
        </w:tc>
      </w:tr>
    </w:tbl>
    <w:p w14:paraId="48DD123B" w14:textId="77777777" w:rsidR="00EB2957" w:rsidRDefault="00EB2957" w:rsidP="000B0FE9">
      <w:pPr>
        <w:jc w:val="both"/>
        <w:rPr>
          <w:lang w:val="en-US"/>
        </w:rPr>
      </w:pPr>
    </w:p>
    <w:tbl>
      <w:tblPr>
        <w:tblStyle w:val="TableGrid"/>
        <w:tblW w:w="0" w:type="auto"/>
        <w:shd w:val="clear" w:color="auto" w:fill="0090A3"/>
        <w:tblLook w:val="04A0" w:firstRow="1" w:lastRow="0" w:firstColumn="1" w:lastColumn="0" w:noHBand="0" w:noVBand="1"/>
      </w:tblPr>
      <w:tblGrid>
        <w:gridCol w:w="9628"/>
      </w:tblGrid>
      <w:tr w:rsidR="00A50B0B" w14:paraId="270D1C9E" w14:textId="77777777" w:rsidTr="008B25A7">
        <w:tc>
          <w:tcPr>
            <w:tcW w:w="9628" w:type="dxa"/>
            <w:shd w:val="clear" w:color="auto" w:fill="0090A3"/>
          </w:tcPr>
          <w:p w14:paraId="3BC66815" w14:textId="77777777" w:rsidR="00A50B0B" w:rsidRPr="001330CB" w:rsidRDefault="00A50B0B" w:rsidP="00A50B0B">
            <w:pPr>
              <w:widowControl w:val="0"/>
              <w:shd w:val="clear" w:color="auto" w:fill="0090A3"/>
              <w:autoSpaceDE w:val="0"/>
              <w:autoSpaceDN w:val="0"/>
              <w:adjustRightInd w:val="0"/>
              <w:spacing w:line="276" w:lineRule="auto"/>
              <w:jc w:val="both"/>
              <w:rPr>
                <w:color w:val="FFFFFF" w:themeColor="background1"/>
                <w:sz w:val="24"/>
                <w:highlight w:val="red"/>
                <w:lang w:val="en-GB"/>
              </w:rPr>
            </w:pPr>
            <w:r w:rsidRPr="001330CB">
              <w:rPr>
                <w:b/>
                <w:color w:val="FFFFFF" w:themeColor="background1"/>
                <w:sz w:val="24"/>
                <w:lang w:val="en-GB"/>
              </w:rPr>
              <w:t xml:space="preserve">Rating Principle </w:t>
            </w:r>
            <w:r>
              <w:rPr>
                <w:b/>
                <w:color w:val="FFFFFF" w:themeColor="background1"/>
                <w:sz w:val="24"/>
                <w:lang w:val="en-GB"/>
              </w:rPr>
              <w:t>3</w:t>
            </w:r>
          </w:p>
          <w:p w14:paraId="48A2C284" w14:textId="4593D0C2" w:rsidR="00A50B0B" w:rsidRDefault="00A50B0B" w:rsidP="00A50B0B">
            <w:pPr>
              <w:jc w:val="both"/>
              <w:rPr>
                <w:lang w:val="en-US"/>
              </w:rPr>
            </w:pPr>
            <w:r>
              <w:rPr>
                <w:color w:val="FFFFFF" w:themeColor="background1"/>
                <w:sz w:val="24"/>
                <w:lang w:val="en-GB"/>
              </w:rPr>
              <w:t>Differential ratings will be considered to assist with the development of our City consistent with Council Plan Objectives.</w:t>
            </w:r>
          </w:p>
        </w:tc>
      </w:tr>
    </w:tbl>
    <w:p w14:paraId="3B5380FF" w14:textId="77777777" w:rsidR="00A50B0B" w:rsidRDefault="00A50B0B" w:rsidP="000B0FE9">
      <w:pPr>
        <w:jc w:val="both"/>
        <w:rPr>
          <w:lang w:val="en-US"/>
        </w:rPr>
      </w:pPr>
    </w:p>
    <w:tbl>
      <w:tblPr>
        <w:tblStyle w:val="TableGrid"/>
        <w:tblW w:w="0" w:type="auto"/>
        <w:shd w:val="clear" w:color="auto" w:fill="0090A3"/>
        <w:tblLook w:val="04A0" w:firstRow="1" w:lastRow="0" w:firstColumn="1" w:lastColumn="0" w:noHBand="0" w:noVBand="1"/>
      </w:tblPr>
      <w:tblGrid>
        <w:gridCol w:w="9628"/>
      </w:tblGrid>
      <w:tr w:rsidR="00A50B0B" w14:paraId="550D3DE9" w14:textId="77777777" w:rsidTr="008B25A7">
        <w:tc>
          <w:tcPr>
            <w:tcW w:w="9628" w:type="dxa"/>
            <w:shd w:val="clear" w:color="auto" w:fill="0090A3"/>
          </w:tcPr>
          <w:p w14:paraId="0DA079AB" w14:textId="77777777" w:rsidR="00A50B0B" w:rsidRPr="001330CB" w:rsidRDefault="00A50B0B" w:rsidP="00A50B0B">
            <w:pPr>
              <w:widowControl w:val="0"/>
              <w:shd w:val="clear" w:color="auto" w:fill="0090A3"/>
              <w:autoSpaceDE w:val="0"/>
              <w:autoSpaceDN w:val="0"/>
              <w:adjustRightInd w:val="0"/>
              <w:spacing w:line="276" w:lineRule="auto"/>
              <w:jc w:val="both"/>
              <w:rPr>
                <w:color w:val="FFFFFF" w:themeColor="background1"/>
                <w:sz w:val="24"/>
                <w:highlight w:val="red"/>
                <w:lang w:val="en-GB"/>
              </w:rPr>
            </w:pPr>
            <w:r w:rsidRPr="001330CB">
              <w:rPr>
                <w:b/>
                <w:color w:val="FFFFFF" w:themeColor="background1"/>
                <w:sz w:val="24"/>
                <w:lang w:val="en-GB"/>
              </w:rPr>
              <w:t xml:space="preserve">Rating Principle </w:t>
            </w:r>
            <w:r>
              <w:rPr>
                <w:b/>
                <w:color w:val="FFFFFF" w:themeColor="background1"/>
                <w:sz w:val="24"/>
                <w:lang w:val="en-GB"/>
              </w:rPr>
              <w:t>4</w:t>
            </w:r>
          </w:p>
          <w:p w14:paraId="61C4C6D8" w14:textId="6068467F" w:rsidR="00A50B0B" w:rsidRDefault="00A50B0B" w:rsidP="00A50B0B">
            <w:pPr>
              <w:jc w:val="both"/>
              <w:rPr>
                <w:b/>
                <w:color w:val="FFFFFF" w:themeColor="background1"/>
                <w:sz w:val="24"/>
                <w:lang w:val="en-GB"/>
              </w:rPr>
            </w:pPr>
            <w:r>
              <w:rPr>
                <w:color w:val="FFFFFF" w:themeColor="background1"/>
                <w:sz w:val="24"/>
                <w:lang w:val="en-GB"/>
              </w:rPr>
              <w:t>Consistent with our rating objective to manage the impacts of change, any major differential rating changes will be gradual taken into consideration the annual general property valuation and demographic changes as part of the budget development process.</w:t>
            </w:r>
          </w:p>
        </w:tc>
      </w:tr>
    </w:tbl>
    <w:p w14:paraId="15D2FA25" w14:textId="77777777" w:rsidR="00580BAA" w:rsidRDefault="00580BAA" w:rsidP="000B0FE9">
      <w:pPr>
        <w:jc w:val="both"/>
        <w:rPr>
          <w:lang w:val="en-US"/>
        </w:rPr>
      </w:pPr>
    </w:p>
    <w:p w14:paraId="3F3B6868" w14:textId="77777777" w:rsidR="00CA37B7" w:rsidRPr="001330CB" w:rsidRDefault="00CA37B7" w:rsidP="008B25A7">
      <w:pPr>
        <w:widowControl w:val="0"/>
        <w:autoSpaceDE w:val="0"/>
        <w:autoSpaceDN w:val="0"/>
        <w:adjustRightInd w:val="0"/>
        <w:spacing w:line="276" w:lineRule="auto"/>
        <w:jc w:val="both"/>
        <w:rPr>
          <w:color w:val="FFFFFF" w:themeColor="background1"/>
          <w:sz w:val="24"/>
          <w:lang w:val="en-GB"/>
        </w:rPr>
      </w:pPr>
      <w:bookmarkStart w:id="80" w:name="_Toc100693698"/>
      <w:bookmarkStart w:id="81" w:name="_Toc101366851"/>
      <w:bookmarkEnd w:id="80"/>
      <w:bookmarkEnd w:id="81"/>
    </w:p>
    <w:p w14:paraId="38D765F8" w14:textId="7EA7DC73" w:rsidR="0071525A" w:rsidRDefault="0071525A" w:rsidP="00F16081">
      <w:pPr>
        <w:pStyle w:val="Heading2"/>
      </w:pPr>
      <w:bookmarkStart w:id="82" w:name="_Toc101366852"/>
      <w:r>
        <w:t>Valuation and supplementary valuation process</w:t>
      </w:r>
      <w:bookmarkEnd w:id="82"/>
    </w:p>
    <w:p w14:paraId="3494C7A0" w14:textId="07485E9C" w:rsidR="0071525A" w:rsidRDefault="0071525A" w:rsidP="0071525A">
      <w:pPr>
        <w:jc w:val="both"/>
        <w:rPr>
          <w:lang w:val="en-GB"/>
        </w:rPr>
      </w:pPr>
      <w:r w:rsidRPr="0071525A">
        <w:t xml:space="preserve">Council undertake independent valuations to the provisions of the </w:t>
      </w:r>
      <w:r w:rsidRPr="0071525A">
        <w:rPr>
          <w:i/>
          <w:lang w:val="en-GB"/>
        </w:rPr>
        <w:t>Valuation of Land Act 1960</w:t>
      </w:r>
      <w:r w:rsidRPr="0071525A">
        <w:rPr>
          <w:lang w:val="en-GB"/>
        </w:rPr>
        <w:t xml:space="preserve"> and administered in accordance with Land Victoria's best practice guidelines. Properties are valued as part of a General Valuation </w:t>
      </w:r>
      <w:r w:rsidR="006528FF">
        <w:rPr>
          <w:lang w:val="en-GB"/>
        </w:rPr>
        <w:t>annually</w:t>
      </w:r>
      <w:r w:rsidRPr="0071525A">
        <w:rPr>
          <w:lang w:val="en-GB"/>
        </w:rPr>
        <w:t xml:space="preserve">. Ratepayers have rights under the </w:t>
      </w:r>
      <w:r w:rsidRPr="0071525A">
        <w:rPr>
          <w:i/>
          <w:lang w:val="en-GB"/>
        </w:rPr>
        <w:t>Valuation of Land Act 1960</w:t>
      </w:r>
      <w:r w:rsidRPr="0071525A">
        <w:rPr>
          <w:lang w:val="en-GB"/>
        </w:rPr>
        <w:t xml:space="preserve"> to object to the valuation of their property</w:t>
      </w:r>
      <w:r>
        <w:rPr>
          <w:lang w:val="en-GB"/>
        </w:rPr>
        <w:t>.</w:t>
      </w:r>
    </w:p>
    <w:p w14:paraId="7D6599BE" w14:textId="6016CC4F" w:rsidR="0071525A" w:rsidRPr="0071525A" w:rsidRDefault="0071525A" w:rsidP="0071525A">
      <w:pPr>
        <w:widowControl w:val="0"/>
        <w:autoSpaceDE w:val="0"/>
        <w:autoSpaceDN w:val="0"/>
        <w:adjustRightInd w:val="0"/>
        <w:spacing w:line="276" w:lineRule="auto"/>
        <w:jc w:val="both"/>
        <w:rPr>
          <w:lang w:val="en-GB"/>
        </w:rPr>
      </w:pPr>
      <w:r w:rsidRPr="0071525A">
        <w:rPr>
          <w:lang w:val="en-GB"/>
        </w:rPr>
        <w:t>Valuations are also important because other rating authorities, such as the State Revenue Office (land tax</w:t>
      </w:r>
      <w:r w:rsidR="00AA53C2">
        <w:rPr>
          <w:lang w:val="en-GB"/>
        </w:rPr>
        <w:t>, fire services levy</w:t>
      </w:r>
      <w:r w:rsidRPr="0071525A">
        <w:rPr>
          <w:lang w:val="en-GB"/>
        </w:rPr>
        <w:t xml:space="preserve">) and water authorities (water and sewage charges), use municipal property valuations for the purpose of levying rates or taxes. </w:t>
      </w:r>
    </w:p>
    <w:p w14:paraId="3E667DC9" w14:textId="7E62331A" w:rsidR="0071525A" w:rsidRPr="0071525A" w:rsidRDefault="0071525A" w:rsidP="0071525A">
      <w:pPr>
        <w:widowControl w:val="0"/>
        <w:autoSpaceDE w:val="0"/>
        <w:autoSpaceDN w:val="0"/>
        <w:adjustRightInd w:val="0"/>
        <w:spacing w:line="276" w:lineRule="auto"/>
        <w:jc w:val="both"/>
        <w:rPr>
          <w:lang w:val="en-GB"/>
        </w:rPr>
      </w:pPr>
      <w:r w:rsidRPr="0071525A">
        <w:rPr>
          <w:lang w:val="en-GB"/>
        </w:rPr>
        <w:t xml:space="preserve">In addition to the General Valuation, all properties that undergo improvement or change are subject to a Supplementary Valuation. Supplementary Valuations are applied to properties between the </w:t>
      </w:r>
      <w:r w:rsidR="0037230F">
        <w:rPr>
          <w:lang w:val="en-GB"/>
        </w:rPr>
        <w:t>Annual</w:t>
      </w:r>
      <w:r w:rsidRPr="0071525A">
        <w:rPr>
          <w:lang w:val="en-GB"/>
        </w:rPr>
        <w:t xml:space="preserve"> General Valuations if they have changed markedly in value as a result of physical changes such as subdivision, building improvements</w:t>
      </w:r>
      <w:r w:rsidR="0056453F">
        <w:rPr>
          <w:lang w:val="en-GB"/>
        </w:rPr>
        <w:t>,</w:t>
      </w:r>
      <w:r w:rsidRPr="0071525A">
        <w:rPr>
          <w:lang w:val="en-GB"/>
        </w:rPr>
        <w:t xml:space="preserve"> additions</w:t>
      </w:r>
      <w:r w:rsidR="0056453F">
        <w:rPr>
          <w:lang w:val="en-GB"/>
        </w:rPr>
        <w:t xml:space="preserve"> and knockdowns</w:t>
      </w:r>
      <w:r w:rsidRPr="0071525A">
        <w:rPr>
          <w:lang w:val="en-GB"/>
        </w:rPr>
        <w:t>. The circumstances where a Supplementary Valuation may occur are outlined in the Valuation of Land Act 1960.</w:t>
      </w:r>
    </w:p>
    <w:p w14:paraId="52170463" w14:textId="636C5105" w:rsidR="00690D94" w:rsidRDefault="0071525A">
      <w:pPr>
        <w:tabs>
          <w:tab w:val="clear" w:pos="-3060"/>
          <w:tab w:val="clear" w:pos="-2340"/>
          <w:tab w:val="clear" w:pos="6300"/>
        </w:tabs>
        <w:suppressAutoHyphens w:val="0"/>
        <w:spacing w:after="160" w:line="259" w:lineRule="auto"/>
      </w:pPr>
      <w:r w:rsidRPr="0071525A">
        <w:rPr>
          <w:lang w:val="en-GB"/>
        </w:rPr>
        <w:t>The City of Port Phillip undertakes its Supplementary Valuations through its contract valuer on a regular basis.</w:t>
      </w:r>
      <w:r w:rsidR="00690D94">
        <w:br w:type="page"/>
      </w:r>
    </w:p>
    <w:p w14:paraId="319AD2CC" w14:textId="161EC956" w:rsidR="0071525A" w:rsidRDefault="0071525A" w:rsidP="00F16081">
      <w:pPr>
        <w:pStyle w:val="Heading1"/>
      </w:pPr>
      <w:bookmarkStart w:id="83" w:name="_Toc98852879"/>
      <w:bookmarkStart w:id="84" w:name="_Toc98857880"/>
      <w:bookmarkStart w:id="85" w:name="_Toc98858009"/>
      <w:bookmarkStart w:id="86" w:name="_Toc100693700"/>
      <w:bookmarkStart w:id="87" w:name="_Toc101366853"/>
      <w:bookmarkStart w:id="88" w:name="_Toc101366854"/>
      <w:bookmarkEnd w:id="83"/>
      <w:bookmarkEnd w:id="84"/>
      <w:bookmarkEnd w:id="85"/>
      <w:bookmarkEnd w:id="86"/>
      <w:bookmarkEnd w:id="87"/>
      <w:r>
        <w:t>Other rates and charges</w:t>
      </w:r>
      <w:bookmarkEnd w:id="88"/>
    </w:p>
    <w:p w14:paraId="0D96B0F6" w14:textId="6B5D786C" w:rsidR="0071525A" w:rsidRDefault="0071525A">
      <w:pPr>
        <w:pStyle w:val="Heading2"/>
        <w:numPr>
          <w:ilvl w:val="1"/>
          <w:numId w:val="16"/>
        </w:numPr>
      </w:pPr>
      <w:bookmarkStart w:id="89" w:name="_Toc101366855"/>
      <w:r>
        <w:t>Municipal charge</w:t>
      </w:r>
      <w:bookmarkEnd w:id="89"/>
    </w:p>
    <w:p w14:paraId="7DBCB523" w14:textId="77777777" w:rsidR="002D71E8" w:rsidRDefault="0071525A" w:rsidP="0071525A">
      <w:pPr>
        <w:widowControl w:val="0"/>
        <w:autoSpaceDE w:val="0"/>
        <w:autoSpaceDN w:val="0"/>
        <w:adjustRightInd w:val="0"/>
        <w:spacing w:line="276" w:lineRule="auto"/>
        <w:jc w:val="both"/>
        <w:rPr>
          <w:lang w:val="en-GB"/>
        </w:rPr>
      </w:pPr>
      <w:r w:rsidRPr="0071525A">
        <w:rPr>
          <w:lang w:val="en-GB"/>
        </w:rPr>
        <w:t xml:space="preserve">Councils may elect to recover the costs of providing municipal services through a fixed charge, also referred to ‘municipal charge’. This charge is intended to cover fixed administrative and governance costs such as the cost of valuations and administration of the rate system. </w:t>
      </w:r>
    </w:p>
    <w:p w14:paraId="739F17D4" w14:textId="1DEBE020" w:rsidR="0071525A" w:rsidRPr="0071525A" w:rsidRDefault="0071525A" w:rsidP="0071525A">
      <w:pPr>
        <w:widowControl w:val="0"/>
        <w:autoSpaceDE w:val="0"/>
        <w:autoSpaceDN w:val="0"/>
        <w:adjustRightInd w:val="0"/>
        <w:spacing w:line="276" w:lineRule="auto"/>
        <w:jc w:val="both"/>
        <w:rPr>
          <w:lang w:val="en-GB"/>
        </w:rPr>
      </w:pPr>
      <w:r w:rsidRPr="0071525A">
        <w:rPr>
          <w:lang w:val="en-GB"/>
        </w:rPr>
        <w:t xml:space="preserve">This charge recovers a portion of the council rates requirement (which replaces general rates revenue and does not add to it). </w:t>
      </w:r>
    </w:p>
    <w:p w14:paraId="033604C9" w14:textId="77777777" w:rsidR="0071525A" w:rsidRPr="0071525A" w:rsidRDefault="0071525A" w:rsidP="0071525A">
      <w:pPr>
        <w:widowControl w:val="0"/>
        <w:autoSpaceDE w:val="0"/>
        <w:autoSpaceDN w:val="0"/>
        <w:adjustRightInd w:val="0"/>
        <w:spacing w:line="276" w:lineRule="auto"/>
        <w:jc w:val="both"/>
        <w:rPr>
          <w:lang w:val="en-GB"/>
        </w:rPr>
      </w:pPr>
      <w:r w:rsidRPr="0071525A">
        <w:rPr>
          <w:lang w:val="en-GB"/>
        </w:rPr>
        <w:t xml:space="preserve">The income from the municipal charge may not exceed 20% of the combined income from the municipal charge and from general rates. Municipal charges are levied as a flat or uniform sum per service or property. </w:t>
      </w:r>
    </w:p>
    <w:p w14:paraId="70F4AA22" w14:textId="7D01DCC6" w:rsidR="007D002E" w:rsidRDefault="0071525A" w:rsidP="0071525A">
      <w:pPr>
        <w:widowControl w:val="0"/>
        <w:autoSpaceDE w:val="0"/>
        <w:autoSpaceDN w:val="0"/>
        <w:adjustRightInd w:val="0"/>
        <w:spacing w:line="276" w:lineRule="auto"/>
        <w:jc w:val="both"/>
        <w:rPr>
          <w:lang w:val="en-GB"/>
        </w:rPr>
      </w:pPr>
      <w:r w:rsidRPr="0071525A">
        <w:rPr>
          <w:lang w:val="en-GB"/>
        </w:rPr>
        <w:t>The advantage of a municipal charge is that it reflects the fixed costs of councils</w:t>
      </w:r>
      <w:r w:rsidR="005E4560">
        <w:rPr>
          <w:lang w:val="en-GB"/>
        </w:rPr>
        <w:t xml:space="preserve"> and it </w:t>
      </w:r>
      <w:r w:rsidR="00D51814">
        <w:rPr>
          <w:lang w:val="en-GB"/>
        </w:rPr>
        <w:t xml:space="preserve">can reduce the impacts caused by the annual general valuation movements/shifts as it is not set </w:t>
      </w:r>
      <w:r w:rsidR="00256E31">
        <w:rPr>
          <w:lang w:val="en-GB"/>
        </w:rPr>
        <w:t>linking to property valuation.</w:t>
      </w:r>
      <w:r w:rsidR="00D51814">
        <w:rPr>
          <w:lang w:val="en-GB"/>
        </w:rPr>
        <w:t xml:space="preserve"> </w:t>
      </w:r>
      <w:r w:rsidRPr="0071525A">
        <w:rPr>
          <w:lang w:val="en-GB"/>
        </w:rPr>
        <w:t xml:space="preserve"> </w:t>
      </w:r>
    </w:p>
    <w:p w14:paraId="34490991" w14:textId="5D2C38E7" w:rsidR="0071525A" w:rsidRPr="000F2872" w:rsidRDefault="0071525A" w:rsidP="0071525A">
      <w:pPr>
        <w:widowControl w:val="0"/>
        <w:autoSpaceDE w:val="0"/>
        <w:autoSpaceDN w:val="0"/>
        <w:adjustRightInd w:val="0"/>
        <w:spacing w:line="276" w:lineRule="auto"/>
        <w:jc w:val="both"/>
        <w:rPr>
          <w:lang w:val="en-US"/>
        </w:rPr>
      </w:pPr>
      <w:r w:rsidRPr="0071525A">
        <w:rPr>
          <w:lang w:val="en-GB"/>
        </w:rPr>
        <w:t xml:space="preserve">The disadvantage is that it has a greater impact on ratepayers that have a lower ability to pay. </w:t>
      </w:r>
      <w:r w:rsidR="003D473B">
        <w:rPr>
          <w:lang w:val="en-GB"/>
        </w:rPr>
        <w:t xml:space="preserve"> </w:t>
      </w:r>
    </w:p>
    <w:p w14:paraId="7494F70E" w14:textId="04492EAF" w:rsidR="006E1870" w:rsidRPr="0071525A" w:rsidRDefault="00766DA4" w:rsidP="0071525A">
      <w:pPr>
        <w:widowControl w:val="0"/>
        <w:autoSpaceDE w:val="0"/>
        <w:autoSpaceDN w:val="0"/>
        <w:adjustRightInd w:val="0"/>
        <w:spacing w:line="276" w:lineRule="auto"/>
        <w:jc w:val="both"/>
        <w:rPr>
          <w:lang w:val="en-GB"/>
        </w:rPr>
      </w:pPr>
      <w:r>
        <w:rPr>
          <w:lang w:val="en-GB"/>
        </w:rPr>
        <w:t>T</w:t>
      </w:r>
      <w:r w:rsidR="00BB4D8E" w:rsidRPr="0071525A">
        <w:rPr>
          <w:lang w:val="en-GB"/>
        </w:rPr>
        <w:t>he City of Port Phillip</w:t>
      </w:r>
      <w:r w:rsidR="00FF58D3">
        <w:rPr>
          <w:lang w:val="en-GB"/>
        </w:rPr>
        <w:t xml:space="preserve"> does not have a munic</w:t>
      </w:r>
      <w:r w:rsidR="00D12CD1">
        <w:rPr>
          <w:lang w:val="en-GB"/>
        </w:rPr>
        <w:t>i</w:t>
      </w:r>
      <w:r w:rsidR="00FF58D3">
        <w:rPr>
          <w:lang w:val="en-GB"/>
        </w:rPr>
        <w:t xml:space="preserve">pal </w:t>
      </w:r>
      <w:r w:rsidR="00D12CD1">
        <w:rPr>
          <w:lang w:val="en-GB"/>
        </w:rPr>
        <w:t xml:space="preserve">charge </w:t>
      </w:r>
      <w:r w:rsidR="00FF58D3">
        <w:rPr>
          <w:lang w:val="en-GB"/>
        </w:rPr>
        <w:t>as combined with the introduction of fixed waste cha</w:t>
      </w:r>
      <w:r w:rsidR="003C5395">
        <w:rPr>
          <w:lang w:val="en-GB"/>
        </w:rPr>
        <w:t>rge</w:t>
      </w:r>
      <w:r w:rsidR="007B587A">
        <w:rPr>
          <w:lang w:val="en-GB"/>
        </w:rPr>
        <w:t xml:space="preserve"> </w:t>
      </w:r>
      <w:r w:rsidR="00D12CD1">
        <w:rPr>
          <w:lang w:val="en-GB"/>
        </w:rPr>
        <w:t xml:space="preserve">we believe it would represent too great a rates distirbution shift to ratepayers who have a lower ability pay. </w:t>
      </w:r>
    </w:p>
    <w:tbl>
      <w:tblPr>
        <w:tblStyle w:val="TableGrid"/>
        <w:tblW w:w="0" w:type="auto"/>
        <w:shd w:val="clear" w:color="auto" w:fill="0090A3"/>
        <w:tblLook w:val="04A0" w:firstRow="1" w:lastRow="0" w:firstColumn="1" w:lastColumn="0" w:noHBand="0" w:noVBand="1"/>
      </w:tblPr>
      <w:tblGrid>
        <w:gridCol w:w="9628"/>
      </w:tblGrid>
      <w:tr w:rsidR="001330CB" w:rsidRPr="001330CB" w14:paraId="71DBDB80" w14:textId="77777777" w:rsidTr="001330CB">
        <w:tc>
          <w:tcPr>
            <w:tcW w:w="10109" w:type="dxa"/>
            <w:shd w:val="clear" w:color="auto" w:fill="0090A3"/>
          </w:tcPr>
          <w:p w14:paraId="5B73806C" w14:textId="57D07921" w:rsidR="001330CB" w:rsidRPr="001330CB" w:rsidRDefault="001330CB" w:rsidP="001330CB">
            <w:pPr>
              <w:widowControl w:val="0"/>
              <w:autoSpaceDE w:val="0"/>
              <w:autoSpaceDN w:val="0"/>
              <w:adjustRightInd w:val="0"/>
              <w:spacing w:line="276" w:lineRule="auto"/>
              <w:jc w:val="both"/>
              <w:rPr>
                <w:color w:val="FFFFFF" w:themeColor="background1"/>
                <w:sz w:val="24"/>
                <w:highlight w:val="red"/>
                <w:lang w:val="en-GB"/>
              </w:rPr>
            </w:pPr>
            <w:r w:rsidRPr="001330CB">
              <w:rPr>
                <w:b/>
                <w:color w:val="FFFFFF" w:themeColor="background1"/>
                <w:sz w:val="24"/>
                <w:lang w:val="en-GB"/>
              </w:rPr>
              <w:t xml:space="preserve">Rating Principle </w:t>
            </w:r>
            <w:r w:rsidR="0089648F">
              <w:rPr>
                <w:b/>
                <w:color w:val="FFFFFF" w:themeColor="background1"/>
                <w:sz w:val="24"/>
                <w:lang w:val="en-GB"/>
              </w:rPr>
              <w:t>5</w:t>
            </w:r>
          </w:p>
          <w:p w14:paraId="572CEF0E" w14:textId="5789D6A7" w:rsidR="001330CB" w:rsidRPr="001330CB" w:rsidRDefault="001330CB" w:rsidP="001330CB">
            <w:pPr>
              <w:widowControl w:val="0"/>
              <w:autoSpaceDE w:val="0"/>
              <w:autoSpaceDN w:val="0"/>
              <w:adjustRightInd w:val="0"/>
              <w:spacing w:line="276" w:lineRule="auto"/>
              <w:jc w:val="both"/>
              <w:rPr>
                <w:color w:val="FFFFFF" w:themeColor="background1"/>
                <w:sz w:val="24"/>
                <w:highlight w:val="red"/>
                <w:lang w:val="en-GB"/>
              </w:rPr>
            </w:pPr>
            <w:r w:rsidRPr="001330CB">
              <w:rPr>
                <w:color w:val="FFFFFF" w:themeColor="background1"/>
                <w:sz w:val="24"/>
                <w:lang w:val="en-GB"/>
              </w:rPr>
              <w:t>The City of Port Phillip will not implement a municipal charge</w:t>
            </w:r>
            <w:r w:rsidR="00A77FB4">
              <w:rPr>
                <w:color w:val="FFFFFF" w:themeColor="background1"/>
                <w:sz w:val="24"/>
                <w:lang w:val="en-GB"/>
              </w:rPr>
              <w:t>, given the introduction of a fixed waste charge</w:t>
            </w:r>
            <w:r w:rsidRPr="001330CB">
              <w:rPr>
                <w:color w:val="FFFFFF" w:themeColor="background1"/>
                <w:sz w:val="24"/>
                <w:lang w:val="en-GB"/>
              </w:rPr>
              <w:t>.</w:t>
            </w:r>
          </w:p>
        </w:tc>
      </w:tr>
    </w:tbl>
    <w:p w14:paraId="68FB7FCE" w14:textId="2E255DD8" w:rsidR="001330CB" w:rsidRDefault="0009572C" w:rsidP="00F16081">
      <w:pPr>
        <w:pStyle w:val="Heading2"/>
      </w:pPr>
      <w:bookmarkStart w:id="90" w:name="_Toc101366856"/>
      <w:r>
        <w:t xml:space="preserve">Waste Charges for </w:t>
      </w:r>
      <w:r w:rsidR="00F55B66">
        <w:t xml:space="preserve">Direct/Private Benefit Waste </w:t>
      </w:r>
      <w:r w:rsidR="001330CB">
        <w:t>Service</w:t>
      </w:r>
      <w:r w:rsidR="00596807">
        <w:t>s</w:t>
      </w:r>
      <w:bookmarkEnd w:id="90"/>
      <w:r w:rsidR="001330CB">
        <w:t xml:space="preserve"> </w:t>
      </w:r>
    </w:p>
    <w:p w14:paraId="73C55BBA" w14:textId="4793319A" w:rsidR="001330CB" w:rsidRPr="0056453F" w:rsidRDefault="001330CB" w:rsidP="001330CB">
      <w:pPr>
        <w:widowControl w:val="0"/>
        <w:autoSpaceDE w:val="0"/>
        <w:autoSpaceDN w:val="0"/>
        <w:adjustRightInd w:val="0"/>
        <w:spacing w:line="276" w:lineRule="auto"/>
        <w:jc w:val="both"/>
        <w:rPr>
          <w:lang w:val="en-GB"/>
        </w:rPr>
      </w:pPr>
      <w:r w:rsidRPr="0056453F">
        <w:rPr>
          <w:lang w:val="en-GB"/>
        </w:rPr>
        <w:t>Councils may elect to recover a service charge to fund the collection and disposal of refuse and any other prescribed service</w:t>
      </w:r>
      <w:r w:rsidR="001C6250">
        <w:rPr>
          <w:lang w:val="en-GB"/>
        </w:rPr>
        <w:t xml:space="preserve"> (none to date)</w:t>
      </w:r>
      <w:r w:rsidR="002E1E72">
        <w:rPr>
          <w:lang w:val="en-GB"/>
        </w:rPr>
        <w:t xml:space="preserve"> by the Minister of Local Government</w:t>
      </w:r>
      <w:r w:rsidRPr="0056453F">
        <w:rPr>
          <w:lang w:val="en-GB"/>
        </w:rPr>
        <w:t xml:space="preserve">. The service rate or service charge may be declared on the basis of any criteria specified by councils in developing the rate or charge. </w:t>
      </w:r>
    </w:p>
    <w:p w14:paraId="5ABF7143" w14:textId="60143AC4" w:rsidR="00B1708F" w:rsidRDefault="001330CB" w:rsidP="001330CB">
      <w:pPr>
        <w:widowControl w:val="0"/>
        <w:autoSpaceDE w:val="0"/>
        <w:autoSpaceDN w:val="0"/>
        <w:adjustRightInd w:val="0"/>
        <w:spacing w:line="276" w:lineRule="auto"/>
        <w:jc w:val="both"/>
        <w:rPr>
          <w:lang w:val="en-GB"/>
        </w:rPr>
      </w:pPr>
      <w:r w:rsidRPr="0056453F">
        <w:rPr>
          <w:lang w:val="en-GB"/>
        </w:rPr>
        <w:t xml:space="preserve">In many respects, service charges may be considered as another form of rate income and bring with them the same types of issues regarding equity and efficiency. </w:t>
      </w:r>
      <w:r w:rsidR="00773343">
        <w:rPr>
          <w:lang w:val="en-GB"/>
        </w:rPr>
        <w:t>Consistent with the User</w:t>
      </w:r>
      <w:r w:rsidR="00647B0E">
        <w:rPr>
          <w:lang w:val="en-GB"/>
        </w:rPr>
        <w:t>-</w:t>
      </w:r>
      <w:r w:rsidR="00773343">
        <w:rPr>
          <w:lang w:val="en-GB"/>
        </w:rPr>
        <w:t>pays</w:t>
      </w:r>
      <w:r w:rsidR="00647B0E">
        <w:rPr>
          <w:lang w:val="en-GB"/>
        </w:rPr>
        <w:t xml:space="preserve"> principle, t</w:t>
      </w:r>
      <w:r w:rsidRPr="0056453F">
        <w:rPr>
          <w:lang w:val="en-GB"/>
        </w:rPr>
        <w:t xml:space="preserve">he City of Port Phillip </w:t>
      </w:r>
      <w:r w:rsidR="001352B9">
        <w:rPr>
          <w:lang w:val="en-GB"/>
        </w:rPr>
        <w:t xml:space="preserve">applies </w:t>
      </w:r>
      <w:r w:rsidR="00CD367D">
        <w:rPr>
          <w:lang w:val="en-GB"/>
        </w:rPr>
        <w:t>Waste S</w:t>
      </w:r>
      <w:r w:rsidRPr="0056453F">
        <w:rPr>
          <w:lang w:val="en-GB"/>
        </w:rPr>
        <w:t xml:space="preserve">ervice charges </w:t>
      </w:r>
      <w:r w:rsidR="00066D2B">
        <w:rPr>
          <w:lang w:val="en-GB"/>
        </w:rPr>
        <w:t xml:space="preserve">to recover the cost of </w:t>
      </w:r>
      <w:r w:rsidR="001352B9">
        <w:rPr>
          <w:lang w:val="en-GB"/>
        </w:rPr>
        <w:t>direct/ private</w:t>
      </w:r>
      <w:r w:rsidR="00066D2B">
        <w:rPr>
          <w:lang w:val="en-GB"/>
        </w:rPr>
        <w:t xml:space="preserve"> benefit waste services </w:t>
      </w:r>
      <w:r w:rsidR="004344B3">
        <w:rPr>
          <w:lang w:val="en-GB"/>
        </w:rPr>
        <w:t>including the kerbside collection</w:t>
      </w:r>
      <w:r w:rsidR="00573355">
        <w:rPr>
          <w:lang w:val="en-GB"/>
        </w:rPr>
        <w:t>s</w:t>
      </w:r>
      <w:r w:rsidR="004344B3">
        <w:rPr>
          <w:lang w:val="en-GB"/>
        </w:rPr>
        <w:t>, communal Food Organic Garden Organic and glass</w:t>
      </w:r>
      <w:r w:rsidR="00464AB7">
        <w:rPr>
          <w:lang w:val="en-GB"/>
        </w:rPr>
        <w:t xml:space="preserve"> recycling, </w:t>
      </w:r>
      <w:r w:rsidR="00071474">
        <w:rPr>
          <w:lang w:val="en-GB"/>
        </w:rPr>
        <w:t xml:space="preserve">hard waste collection, </w:t>
      </w:r>
      <w:r w:rsidR="00464AB7">
        <w:rPr>
          <w:lang w:val="en-GB"/>
        </w:rPr>
        <w:t>and Resource Recovery Centre</w:t>
      </w:r>
      <w:r w:rsidR="00071474">
        <w:rPr>
          <w:lang w:val="en-GB"/>
        </w:rPr>
        <w:t xml:space="preserve"> operations</w:t>
      </w:r>
      <w:r w:rsidR="00464AB7">
        <w:rPr>
          <w:lang w:val="en-GB"/>
        </w:rPr>
        <w:t>.</w:t>
      </w:r>
    </w:p>
    <w:p w14:paraId="3621BD36" w14:textId="607BA8AE" w:rsidR="004A6B63" w:rsidRDefault="004F6974" w:rsidP="001330CB">
      <w:pPr>
        <w:widowControl w:val="0"/>
        <w:autoSpaceDE w:val="0"/>
        <w:autoSpaceDN w:val="0"/>
        <w:adjustRightInd w:val="0"/>
        <w:spacing w:line="276" w:lineRule="auto"/>
        <w:jc w:val="both"/>
        <w:rPr>
          <w:lang w:val="en-GB"/>
        </w:rPr>
      </w:pPr>
      <w:r>
        <w:rPr>
          <w:lang w:val="en-GB"/>
        </w:rPr>
        <w:t>The advantages of Waste Service Charge</w:t>
      </w:r>
      <w:r w:rsidR="00854022">
        <w:rPr>
          <w:lang w:val="en-GB"/>
        </w:rPr>
        <w:t>s</w:t>
      </w:r>
      <w:r>
        <w:rPr>
          <w:lang w:val="en-GB"/>
        </w:rPr>
        <w:t xml:space="preserve"> are:</w:t>
      </w:r>
    </w:p>
    <w:p w14:paraId="28287112" w14:textId="03210267" w:rsidR="004F6974" w:rsidRDefault="00BF3FF4"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Transparency on the cost of waste services</w:t>
      </w:r>
    </w:p>
    <w:p w14:paraId="5453CD6D" w14:textId="3E932C45" w:rsidR="007663B7" w:rsidRDefault="00D85D97"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F</w:t>
      </w:r>
      <w:r w:rsidR="00853D4C">
        <w:rPr>
          <w:lang w:val="en-GB"/>
        </w:rPr>
        <w:t>lat (fixed)</w:t>
      </w:r>
      <w:r w:rsidR="00250810">
        <w:rPr>
          <w:lang w:val="en-GB"/>
        </w:rPr>
        <w:t xml:space="preserve"> </w:t>
      </w:r>
      <w:r>
        <w:rPr>
          <w:lang w:val="en-GB"/>
        </w:rPr>
        <w:t xml:space="preserve">waste </w:t>
      </w:r>
      <w:r w:rsidR="00853D4C">
        <w:rPr>
          <w:lang w:val="en-GB"/>
        </w:rPr>
        <w:t>charge</w:t>
      </w:r>
      <w:r w:rsidR="00C543C1">
        <w:rPr>
          <w:lang w:val="en-GB"/>
        </w:rPr>
        <w:t xml:space="preserve"> </w:t>
      </w:r>
      <w:r>
        <w:rPr>
          <w:lang w:val="en-GB"/>
        </w:rPr>
        <w:t xml:space="preserve">are </w:t>
      </w:r>
      <w:r w:rsidR="00C543C1">
        <w:rPr>
          <w:lang w:val="en-GB"/>
        </w:rPr>
        <w:t>not subject to the annual valuation movements</w:t>
      </w:r>
      <w:r w:rsidR="001B4676">
        <w:rPr>
          <w:lang w:val="en-GB"/>
        </w:rPr>
        <w:t xml:space="preserve"> and can flatten out the rates distribution within</w:t>
      </w:r>
      <w:r w:rsidR="00C63A90">
        <w:rPr>
          <w:lang w:val="en-GB"/>
        </w:rPr>
        <w:t xml:space="preserve"> a</w:t>
      </w:r>
      <w:r w:rsidR="001B4676">
        <w:rPr>
          <w:lang w:val="en-GB"/>
        </w:rPr>
        <w:t xml:space="preserve"> </w:t>
      </w:r>
      <w:r w:rsidR="00CB1B02">
        <w:rPr>
          <w:lang w:val="en-GB"/>
        </w:rPr>
        <w:t>property class</w:t>
      </w:r>
    </w:p>
    <w:p w14:paraId="2F162FC1" w14:textId="0EB5B7E0" w:rsidR="00594278" w:rsidRDefault="00594278"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 xml:space="preserve">A tiered pricing structure reflects the differences in services received </w:t>
      </w:r>
      <w:r w:rsidR="001C74C8">
        <w:rPr>
          <w:lang w:val="en-GB"/>
        </w:rPr>
        <w:t>– ker</w:t>
      </w:r>
      <w:r w:rsidR="00F31E85">
        <w:rPr>
          <w:lang w:val="en-GB"/>
        </w:rPr>
        <w:t>b</w:t>
      </w:r>
      <w:r w:rsidR="001C74C8">
        <w:rPr>
          <w:lang w:val="en-GB"/>
        </w:rPr>
        <w:t>side and communal.</w:t>
      </w:r>
    </w:p>
    <w:p w14:paraId="795C105B" w14:textId="21FDED76" w:rsidR="00A23915" w:rsidRDefault="00C543C1"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 xml:space="preserve">It </w:t>
      </w:r>
      <w:r w:rsidR="00854630">
        <w:rPr>
          <w:lang w:val="en-GB"/>
        </w:rPr>
        <w:t xml:space="preserve">can be </w:t>
      </w:r>
      <w:r w:rsidR="00CB1B02">
        <w:rPr>
          <w:lang w:val="en-GB"/>
        </w:rPr>
        <w:t>used to influence community behaviour</w:t>
      </w:r>
      <w:r w:rsidR="00A7338D">
        <w:rPr>
          <w:lang w:val="en-GB"/>
        </w:rPr>
        <w:t xml:space="preserve"> with </w:t>
      </w:r>
      <w:r w:rsidR="00E32CEE">
        <w:rPr>
          <w:lang w:val="en-GB"/>
        </w:rPr>
        <w:t xml:space="preserve">waste charge </w:t>
      </w:r>
      <w:r w:rsidR="00A40900">
        <w:rPr>
          <w:lang w:val="en-GB"/>
        </w:rPr>
        <w:t>setting taking into consideration waste bin sizes</w:t>
      </w:r>
      <w:r w:rsidR="00A23915">
        <w:rPr>
          <w:lang w:val="en-GB"/>
        </w:rPr>
        <w:t xml:space="preserve"> (80L, 120L, 240L)</w:t>
      </w:r>
      <w:r w:rsidR="00A40900">
        <w:rPr>
          <w:lang w:val="en-GB"/>
        </w:rPr>
        <w:t xml:space="preserve">, </w:t>
      </w:r>
    </w:p>
    <w:p w14:paraId="32AEDA71" w14:textId="1DCE8C09" w:rsidR="00C543C1" w:rsidRDefault="00A23915"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Concessi</w:t>
      </w:r>
      <w:r w:rsidR="00A40900">
        <w:rPr>
          <w:lang w:val="en-GB"/>
        </w:rPr>
        <w:t>ons and rebates</w:t>
      </w:r>
      <w:r>
        <w:rPr>
          <w:lang w:val="en-GB"/>
        </w:rPr>
        <w:t xml:space="preserve"> can be used to address equitable outcomes in the community (such as </w:t>
      </w:r>
      <w:r w:rsidR="003D637E">
        <w:rPr>
          <w:lang w:val="en-GB"/>
        </w:rPr>
        <w:t>private collection rebates, carparks and storage areas).</w:t>
      </w:r>
    </w:p>
    <w:p w14:paraId="237A3AAC" w14:textId="7EF48815" w:rsidR="006C16EA" w:rsidRPr="00F16081" w:rsidRDefault="006C16EA" w:rsidP="008B25A7">
      <w:pPr>
        <w:pStyle w:val="ListParagraph"/>
        <w:widowControl w:val="0"/>
        <w:numPr>
          <w:ilvl w:val="0"/>
          <w:numId w:val="29"/>
        </w:numPr>
        <w:autoSpaceDE w:val="0"/>
        <w:autoSpaceDN w:val="0"/>
        <w:adjustRightInd w:val="0"/>
        <w:spacing w:line="276" w:lineRule="auto"/>
        <w:ind w:left="426" w:hanging="426"/>
        <w:jc w:val="both"/>
        <w:rPr>
          <w:lang w:val="en-GB"/>
        </w:rPr>
      </w:pPr>
      <w:r>
        <w:rPr>
          <w:lang w:val="en-GB"/>
        </w:rPr>
        <w:t>It can fund new waste services</w:t>
      </w:r>
      <w:r w:rsidR="000612BB">
        <w:rPr>
          <w:lang w:val="en-GB"/>
        </w:rPr>
        <w:t xml:space="preserve"> </w:t>
      </w:r>
      <w:r w:rsidR="00844CB0">
        <w:rPr>
          <w:lang w:val="en-GB"/>
        </w:rPr>
        <w:t>such as Food Organic Recycling</w:t>
      </w:r>
      <w:r>
        <w:rPr>
          <w:lang w:val="en-GB"/>
        </w:rPr>
        <w:t xml:space="preserve"> and </w:t>
      </w:r>
      <w:r w:rsidR="000612BB">
        <w:rPr>
          <w:lang w:val="en-GB"/>
        </w:rPr>
        <w:t>waste cost escalation above rates cap such as landfill levy increase set by the Victorian Government</w:t>
      </w:r>
      <w:r w:rsidR="00F1698A">
        <w:rPr>
          <w:lang w:val="en-GB"/>
        </w:rPr>
        <w:t xml:space="preserve"> as it is not subject to the rates cap</w:t>
      </w:r>
      <w:r w:rsidR="000612BB">
        <w:rPr>
          <w:lang w:val="en-GB"/>
        </w:rPr>
        <w:t>.</w:t>
      </w:r>
    </w:p>
    <w:p w14:paraId="3938F9AE" w14:textId="4530A2DF" w:rsidR="001330CB" w:rsidRDefault="00092463">
      <w:pPr>
        <w:widowControl w:val="0"/>
        <w:autoSpaceDE w:val="0"/>
        <w:autoSpaceDN w:val="0"/>
        <w:adjustRightInd w:val="0"/>
        <w:spacing w:line="276" w:lineRule="auto"/>
        <w:jc w:val="both"/>
        <w:rPr>
          <w:lang w:val="en-GB"/>
        </w:rPr>
      </w:pPr>
      <w:r w:rsidRPr="0071525A">
        <w:rPr>
          <w:lang w:val="en-GB"/>
        </w:rPr>
        <w:t>The disadvantage is that it has a greater impact on ratepayers that have a lower ability to pay.</w:t>
      </w:r>
      <w:r w:rsidR="001330CB" w:rsidRPr="0056453F">
        <w:rPr>
          <w:lang w:val="en-GB"/>
        </w:rPr>
        <w:t xml:space="preserve"> </w:t>
      </w:r>
    </w:p>
    <w:tbl>
      <w:tblPr>
        <w:tblStyle w:val="TableGrid"/>
        <w:tblW w:w="0" w:type="auto"/>
        <w:shd w:val="clear" w:color="auto" w:fill="0090A3"/>
        <w:tblLook w:val="04A0" w:firstRow="1" w:lastRow="0" w:firstColumn="1" w:lastColumn="0" w:noHBand="0" w:noVBand="1"/>
      </w:tblPr>
      <w:tblGrid>
        <w:gridCol w:w="9628"/>
      </w:tblGrid>
      <w:tr w:rsidR="00D33B23" w14:paraId="3A459C0B" w14:textId="77777777" w:rsidTr="008B25A7">
        <w:tc>
          <w:tcPr>
            <w:tcW w:w="9628" w:type="dxa"/>
            <w:shd w:val="clear" w:color="auto" w:fill="0090A3"/>
          </w:tcPr>
          <w:p w14:paraId="352012F3" w14:textId="77777777" w:rsidR="00D33B23" w:rsidRPr="001330CB" w:rsidRDefault="00D33B23" w:rsidP="00D33B23">
            <w:pPr>
              <w:widowControl w:val="0"/>
              <w:shd w:val="clear" w:color="auto" w:fill="008FA3"/>
              <w:autoSpaceDE w:val="0"/>
              <w:autoSpaceDN w:val="0"/>
              <w:adjustRightInd w:val="0"/>
              <w:spacing w:line="276" w:lineRule="auto"/>
              <w:jc w:val="both"/>
              <w:rPr>
                <w:b/>
                <w:color w:val="FFFFFF" w:themeColor="background1"/>
                <w:sz w:val="24"/>
                <w:lang w:val="en-GB"/>
              </w:rPr>
            </w:pPr>
            <w:r w:rsidRPr="001330CB">
              <w:rPr>
                <w:b/>
                <w:color w:val="FFFFFF" w:themeColor="background1"/>
                <w:sz w:val="24"/>
                <w:lang w:val="en-GB"/>
              </w:rPr>
              <w:t xml:space="preserve">Rating Principle </w:t>
            </w:r>
            <w:r>
              <w:rPr>
                <w:b/>
                <w:color w:val="FFFFFF" w:themeColor="background1"/>
                <w:sz w:val="24"/>
                <w:lang w:val="en-GB"/>
              </w:rPr>
              <w:t>6</w:t>
            </w:r>
          </w:p>
          <w:p w14:paraId="2FED3637" w14:textId="7D117E32" w:rsidR="00D33B23" w:rsidRDefault="00D33B23" w:rsidP="008B25A7">
            <w:pPr>
              <w:widowControl w:val="0"/>
              <w:shd w:val="clear" w:color="auto" w:fill="008FA3"/>
              <w:autoSpaceDE w:val="0"/>
              <w:autoSpaceDN w:val="0"/>
              <w:adjustRightInd w:val="0"/>
              <w:spacing w:line="276" w:lineRule="auto"/>
              <w:jc w:val="both"/>
              <w:rPr>
                <w:lang w:val="en-GB"/>
              </w:rPr>
            </w:pPr>
            <w:r w:rsidRPr="00161E1D">
              <w:rPr>
                <w:color w:val="FFFFFF" w:themeColor="background1"/>
                <w:sz w:val="24"/>
                <w:lang w:val="en-GB"/>
              </w:rPr>
              <w:t xml:space="preserve">A </w:t>
            </w:r>
            <w:r w:rsidRPr="00A35F57">
              <w:rPr>
                <w:color w:val="FFFFFF" w:themeColor="background1"/>
              </w:rPr>
              <w:t>waste charges will apply to all rateable assessments to recover the cost of waste services that are direct or provide private benefits (such as kerbside collections; communal food organics and garden organics and glass recycling; hard</w:t>
            </w:r>
            <w:r w:rsidR="009443F0">
              <w:rPr>
                <w:color w:val="FFFFFF" w:themeColor="background1"/>
              </w:rPr>
              <w:t xml:space="preserve"> and green</w:t>
            </w:r>
            <w:r w:rsidRPr="00A35F57">
              <w:rPr>
                <w:color w:val="FFFFFF" w:themeColor="background1"/>
              </w:rPr>
              <w:t xml:space="preserve"> waste collection; and Resource Recovery Centre operations)</w:t>
            </w:r>
            <w:r w:rsidRPr="00161E1D">
              <w:rPr>
                <w:color w:val="FFFFFF" w:themeColor="background1"/>
                <w:sz w:val="24"/>
                <w:lang w:val="en-GB"/>
              </w:rPr>
              <w:t>.</w:t>
            </w:r>
          </w:p>
        </w:tc>
      </w:tr>
    </w:tbl>
    <w:p w14:paraId="24D0C510" w14:textId="3C79F95C" w:rsidR="00D33B23" w:rsidRDefault="00D33B23">
      <w:pPr>
        <w:widowControl w:val="0"/>
        <w:autoSpaceDE w:val="0"/>
        <w:autoSpaceDN w:val="0"/>
        <w:adjustRightInd w:val="0"/>
        <w:spacing w:line="276" w:lineRule="auto"/>
        <w:jc w:val="both"/>
        <w:rPr>
          <w:lang w:val="en-GB"/>
        </w:rPr>
      </w:pPr>
    </w:p>
    <w:tbl>
      <w:tblPr>
        <w:tblStyle w:val="TableGrid"/>
        <w:tblW w:w="0" w:type="auto"/>
        <w:shd w:val="clear" w:color="auto" w:fill="0090A3"/>
        <w:tblLook w:val="04A0" w:firstRow="1" w:lastRow="0" w:firstColumn="1" w:lastColumn="0" w:noHBand="0" w:noVBand="1"/>
      </w:tblPr>
      <w:tblGrid>
        <w:gridCol w:w="9628"/>
      </w:tblGrid>
      <w:tr w:rsidR="001330CB" w:rsidRPr="001330CB" w14:paraId="66F4BF3E" w14:textId="77777777" w:rsidTr="001330CB">
        <w:tc>
          <w:tcPr>
            <w:tcW w:w="10109" w:type="dxa"/>
            <w:shd w:val="clear" w:color="auto" w:fill="0090A3"/>
          </w:tcPr>
          <w:p w14:paraId="380AF8D6" w14:textId="52FDEE8B" w:rsidR="001330CB" w:rsidRPr="001330CB" w:rsidRDefault="001330CB" w:rsidP="001330CB">
            <w:pPr>
              <w:widowControl w:val="0"/>
              <w:autoSpaceDE w:val="0"/>
              <w:autoSpaceDN w:val="0"/>
              <w:adjustRightInd w:val="0"/>
              <w:spacing w:line="276" w:lineRule="auto"/>
              <w:jc w:val="both"/>
              <w:rPr>
                <w:b/>
                <w:color w:val="FFFFFF" w:themeColor="background1"/>
                <w:sz w:val="24"/>
                <w:lang w:val="en-GB"/>
              </w:rPr>
            </w:pPr>
            <w:r w:rsidRPr="001330CB">
              <w:rPr>
                <w:b/>
                <w:color w:val="FFFFFF" w:themeColor="background1"/>
                <w:sz w:val="24"/>
                <w:lang w:val="en-GB"/>
              </w:rPr>
              <w:t xml:space="preserve">Rating Principle </w:t>
            </w:r>
            <w:r w:rsidR="00980219">
              <w:rPr>
                <w:b/>
                <w:color w:val="FFFFFF" w:themeColor="background1"/>
                <w:sz w:val="24"/>
                <w:lang w:val="en-GB"/>
              </w:rPr>
              <w:t>7</w:t>
            </w:r>
          </w:p>
          <w:p w14:paraId="425C389D" w14:textId="4211F64C" w:rsidR="001330CB" w:rsidRPr="001330CB" w:rsidRDefault="001330CB" w:rsidP="008B25A7">
            <w:pPr>
              <w:widowControl w:val="0"/>
              <w:autoSpaceDE w:val="0"/>
              <w:autoSpaceDN w:val="0"/>
              <w:adjustRightInd w:val="0"/>
              <w:jc w:val="both"/>
              <w:rPr>
                <w:color w:val="FFFFFF" w:themeColor="background1"/>
                <w:sz w:val="24"/>
                <w:highlight w:val="red"/>
                <w:lang w:val="en-GB"/>
              </w:rPr>
            </w:pPr>
            <w:r>
              <w:rPr>
                <w:color w:val="FFFFFF" w:themeColor="background1"/>
                <w:sz w:val="24"/>
                <w:lang w:val="en-GB"/>
              </w:rPr>
              <w:t xml:space="preserve">The </w:t>
            </w:r>
            <w:r w:rsidR="00072190" w:rsidRPr="008B25A7">
              <w:rPr>
                <w:color w:val="FFFFFF" w:themeColor="background1"/>
              </w:rPr>
              <w:t>setting of waste charges will be tiered recognising some key service differences between kerbside collection and communal services. It will include a mix of concessions, bin sizes, and exemptions to influence community behaviour, and support equitable outcomes</w:t>
            </w:r>
            <w:r w:rsidRPr="001330CB">
              <w:rPr>
                <w:color w:val="FFFFFF" w:themeColor="background1"/>
                <w:sz w:val="24"/>
                <w:lang w:val="en-GB"/>
              </w:rPr>
              <w:t>.</w:t>
            </w:r>
          </w:p>
        </w:tc>
      </w:tr>
    </w:tbl>
    <w:p w14:paraId="33C62F98" w14:textId="4FBA6B6B" w:rsidR="001330CB" w:rsidRDefault="001330CB" w:rsidP="00F16081">
      <w:pPr>
        <w:pStyle w:val="Heading2"/>
      </w:pPr>
      <w:bookmarkStart w:id="91" w:name="_Toc100693704"/>
      <w:bookmarkStart w:id="92" w:name="_Toc101366857"/>
      <w:bookmarkStart w:id="93" w:name="_Toc101366858"/>
      <w:bookmarkEnd w:id="91"/>
      <w:bookmarkEnd w:id="92"/>
      <w:r>
        <w:t>Special rates and charges</w:t>
      </w:r>
      <w:bookmarkEnd w:id="93"/>
    </w:p>
    <w:p w14:paraId="37BD83B2" w14:textId="77777777" w:rsidR="001330CB" w:rsidRPr="001330CB" w:rsidRDefault="001330CB" w:rsidP="001330CB">
      <w:pPr>
        <w:widowControl w:val="0"/>
        <w:autoSpaceDE w:val="0"/>
        <w:autoSpaceDN w:val="0"/>
        <w:adjustRightInd w:val="0"/>
        <w:spacing w:line="276" w:lineRule="auto"/>
        <w:jc w:val="both"/>
        <w:rPr>
          <w:lang w:val="en-GB"/>
        </w:rPr>
      </w:pPr>
      <w:r w:rsidRPr="001330CB">
        <w:rPr>
          <w:lang w:val="en-GB"/>
        </w:rPr>
        <w:t>Councils can declare a special rate or a special charge for the ‘performance of a function or the exercise of a power’. As such, the special rate or charge can be used to fund the cost of providing services ‘of special benefit’ to the people paying the special rate or charge. Special rates and charges can be used to fund the sealing of a previously unsealed road, providing drainage where drainage was not previously provided, building car parks in shopping centres, promotional or security services for strip shopping centres.</w:t>
      </w:r>
    </w:p>
    <w:p w14:paraId="21EF5737" w14:textId="3F02A522" w:rsidR="001330CB" w:rsidRPr="001330CB" w:rsidRDefault="001330CB" w:rsidP="001330CB">
      <w:pPr>
        <w:jc w:val="both"/>
        <w:rPr>
          <w:lang w:val="en-GB"/>
        </w:rPr>
      </w:pPr>
      <w:r w:rsidRPr="001330CB">
        <w:rPr>
          <w:lang w:val="en-GB"/>
        </w:rPr>
        <w:t>The City of Port Phillip consults with the affected segment of the community before instituting special rates and charges. Councils have the power to set the criteria and duration of any special rates or charges (for example, area or properties affected, mode of calculation). Where non-rateable properties lie within the special charge area and they will benefit from the works subject to the special charge, they also contribute to the special charge</w:t>
      </w:r>
    </w:p>
    <w:tbl>
      <w:tblPr>
        <w:tblStyle w:val="TableGrid"/>
        <w:tblW w:w="0" w:type="auto"/>
        <w:shd w:val="clear" w:color="auto" w:fill="0090A3"/>
        <w:tblLook w:val="04A0" w:firstRow="1" w:lastRow="0" w:firstColumn="1" w:lastColumn="0" w:noHBand="0" w:noVBand="1"/>
      </w:tblPr>
      <w:tblGrid>
        <w:gridCol w:w="9628"/>
      </w:tblGrid>
      <w:tr w:rsidR="001330CB" w:rsidRPr="001330CB" w14:paraId="6F0D7CFB" w14:textId="77777777" w:rsidTr="001330CB">
        <w:tc>
          <w:tcPr>
            <w:tcW w:w="10109" w:type="dxa"/>
            <w:shd w:val="clear" w:color="auto" w:fill="0090A3"/>
          </w:tcPr>
          <w:p w14:paraId="697276A1" w14:textId="1140E2C4" w:rsidR="001330CB" w:rsidRPr="001330CB" w:rsidRDefault="001330CB" w:rsidP="001330CB">
            <w:pPr>
              <w:widowControl w:val="0"/>
              <w:autoSpaceDE w:val="0"/>
              <w:autoSpaceDN w:val="0"/>
              <w:adjustRightInd w:val="0"/>
              <w:spacing w:line="276" w:lineRule="auto"/>
              <w:jc w:val="both"/>
              <w:rPr>
                <w:b/>
                <w:color w:val="FFFFFF" w:themeColor="background1"/>
                <w:sz w:val="24"/>
                <w:lang w:val="en-GB"/>
              </w:rPr>
            </w:pPr>
            <w:bookmarkStart w:id="94" w:name="_Hlk511221206"/>
            <w:r w:rsidRPr="001330CB">
              <w:rPr>
                <w:b/>
                <w:color w:val="FFFFFF" w:themeColor="background1"/>
                <w:sz w:val="24"/>
                <w:lang w:val="en-GB"/>
              </w:rPr>
              <w:t xml:space="preserve">Rating Principle </w:t>
            </w:r>
            <w:r w:rsidR="00D5107B">
              <w:rPr>
                <w:b/>
                <w:color w:val="FFFFFF" w:themeColor="background1"/>
                <w:sz w:val="24"/>
                <w:lang w:val="en-GB"/>
              </w:rPr>
              <w:t>8</w:t>
            </w:r>
          </w:p>
          <w:p w14:paraId="06AE7D67" w14:textId="61B1A7A9" w:rsidR="001330CB" w:rsidRPr="001330CB" w:rsidRDefault="001330CB" w:rsidP="008B25A7">
            <w:pPr>
              <w:widowControl w:val="0"/>
              <w:tabs>
                <w:tab w:val="left" w:pos="243"/>
                <w:tab w:val="left" w:pos="918"/>
              </w:tabs>
              <w:autoSpaceDE w:val="0"/>
              <w:autoSpaceDN w:val="0"/>
              <w:adjustRightInd w:val="0"/>
              <w:spacing w:line="276" w:lineRule="auto"/>
              <w:rPr>
                <w:color w:val="FFFFFF" w:themeColor="background1"/>
                <w:sz w:val="24"/>
                <w:highlight w:val="red"/>
                <w:lang w:val="en-GB"/>
              </w:rPr>
            </w:pPr>
            <w:r w:rsidRPr="001330CB">
              <w:rPr>
                <w:color w:val="FFFFFF" w:themeColor="background1"/>
                <w:sz w:val="24"/>
                <w:lang w:val="en-GB"/>
              </w:rPr>
              <w:t>Special rates and charges will be used where a specific benefit or service can be identified for ratepayers and only following consultation with the affected ratepayers.</w:t>
            </w:r>
          </w:p>
        </w:tc>
      </w:tr>
    </w:tbl>
    <w:p w14:paraId="354A28A1" w14:textId="62A0EB2D" w:rsidR="00596807" w:rsidRDefault="00596807" w:rsidP="008B25A7">
      <w:bookmarkStart w:id="95" w:name="_Toc100693706"/>
      <w:bookmarkEnd w:id="94"/>
      <w:bookmarkEnd w:id="95"/>
    </w:p>
    <w:p w14:paraId="526B0E57" w14:textId="77777777" w:rsidR="00596807" w:rsidRDefault="00596807">
      <w:pPr>
        <w:tabs>
          <w:tab w:val="clear" w:pos="-3060"/>
          <w:tab w:val="clear" w:pos="-2340"/>
          <w:tab w:val="clear" w:pos="6300"/>
        </w:tabs>
        <w:suppressAutoHyphens w:val="0"/>
        <w:spacing w:after="160" w:line="259" w:lineRule="auto"/>
        <w:rPr>
          <w:b/>
          <w:color w:val="0090A3"/>
          <w:sz w:val="20"/>
          <w:szCs w:val="20"/>
          <w:lang w:val="en-GB"/>
        </w:rPr>
      </w:pPr>
      <w:r>
        <w:rPr>
          <w:sz w:val="20"/>
          <w:szCs w:val="20"/>
        </w:rPr>
        <w:br w:type="page"/>
      </w:r>
    </w:p>
    <w:p w14:paraId="2C2666A0" w14:textId="7D351F1A" w:rsidR="001330CB" w:rsidRDefault="001330CB">
      <w:pPr>
        <w:pStyle w:val="Heading1"/>
      </w:pPr>
      <w:bookmarkStart w:id="96" w:name="_Toc101366859"/>
      <w:bookmarkStart w:id="97" w:name="_Toc101366860"/>
      <w:bookmarkEnd w:id="96"/>
      <w:r>
        <w:t>Targeted support for the financially disadvantaged</w:t>
      </w:r>
      <w:bookmarkEnd w:id="97"/>
    </w:p>
    <w:p w14:paraId="3D6D4464" w14:textId="115A0955" w:rsidR="00E174B3" w:rsidRDefault="000071E0" w:rsidP="003E7F33">
      <w:r>
        <w:rPr>
          <w:lang w:val="en-GB"/>
        </w:rPr>
        <w:t>Th</w:t>
      </w:r>
      <w:r w:rsidR="00564B30">
        <w:rPr>
          <w:lang w:val="en-GB"/>
        </w:rPr>
        <w:t>is section i</w:t>
      </w:r>
      <w:r>
        <w:rPr>
          <w:lang w:val="en-GB"/>
        </w:rPr>
        <w:t>s a</w:t>
      </w:r>
      <w:r w:rsidR="00435629">
        <w:rPr>
          <w:lang w:val="en-GB"/>
        </w:rPr>
        <w:t xml:space="preserve"> </w:t>
      </w:r>
      <w:r w:rsidR="00564B30">
        <w:rPr>
          <w:lang w:val="en-GB"/>
        </w:rPr>
        <w:t>summary</w:t>
      </w:r>
      <w:r>
        <w:rPr>
          <w:lang w:val="en-GB"/>
        </w:rPr>
        <w:t xml:space="preserve"> of our Financial Hardship policy</w:t>
      </w:r>
      <w:r w:rsidR="00435629">
        <w:rPr>
          <w:lang w:val="en-GB"/>
        </w:rPr>
        <w:t xml:space="preserve"> which can be found on</w:t>
      </w:r>
      <w:r>
        <w:rPr>
          <w:lang w:val="en-GB"/>
        </w:rPr>
        <w:t xml:space="preserve"> our website:</w:t>
      </w:r>
      <w:r w:rsidR="00564B30">
        <w:rPr>
          <w:lang w:val="en-GB"/>
        </w:rPr>
        <w:t xml:space="preserve"> </w:t>
      </w:r>
      <w:hyperlink r:id="rId12" w:history="1">
        <w:r w:rsidR="00E174B3" w:rsidRPr="00E537D5">
          <w:rPr>
            <w:rStyle w:val="Hyperlink"/>
          </w:rPr>
          <w:t>https://www.portphillip.vic.gov.au/council-services/rates-and-valuations/rates-concessions-and-hardship-relief</w:t>
        </w:r>
      </w:hyperlink>
    </w:p>
    <w:p w14:paraId="131A8A8A" w14:textId="263A28A8" w:rsidR="001330CB" w:rsidRDefault="00EA0988">
      <w:pPr>
        <w:pStyle w:val="Heading2"/>
        <w:numPr>
          <w:ilvl w:val="1"/>
          <w:numId w:val="17"/>
        </w:numPr>
      </w:pPr>
      <w:bookmarkStart w:id="98" w:name="_Toc101366861"/>
      <w:r>
        <w:t>Rates charged to the property</w:t>
      </w:r>
      <w:bookmarkEnd w:id="98"/>
    </w:p>
    <w:p w14:paraId="44537FCA" w14:textId="76BE0545" w:rsidR="00EA0988" w:rsidRDefault="00EA0988" w:rsidP="00EA0988">
      <w:pPr>
        <w:jc w:val="both"/>
        <w:rPr>
          <w:lang w:val="en-GB"/>
        </w:rPr>
      </w:pPr>
      <w:r w:rsidRPr="00EA0988">
        <w:rPr>
          <w:lang w:val="en-GB"/>
        </w:rPr>
        <w:t>Provision exists for the rates to be made ‘a charge on the property’ and remain so until the property is sold</w:t>
      </w:r>
      <w:r w:rsidR="00471135">
        <w:rPr>
          <w:lang w:val="en-GB"/>
        </w:rPr>
        <w:t xml:space="preserve"> or ownership is transferred</w:t>
      </w:r>
      <w:r w:rsidRPr="00EA0988">
        <w:rPr>
          <w:lang w:val="en-GB"/>
        </w:rPr>
        <w:t>. Councils have generally used this power to apply compassionate considerations for elderly people, especially those who might be characterised as ‘asset rich but income poor’. For example, a person may have acquired a house during their working life but may have insufficient income for their retirement. Instead of pursuing legal action to recover the unpaid rates, the rates (plus a prescribed rate of interest) can be recouped when the property is sold</w:t>
      </w:r>
      <w:r w:rsidR="00471135">
        <w:rPr>
          <w:lang w:val="en-GB"/>
        </w:rPr>
        <w:t xml:space="preserve"> or </w:t>
      </w:r>
      <w:r>
        <w:rPr>
          <w:lang w:val="en-GB"/>
        </w:rPr>
        <w:t>transferred.</w:t>
      </w:r>
    </w:p>
    <w:p w14:paraId="4A0A1A76" w14:textId="21129EDA" w:rsidR="00EA0988" w:rsidRDefault="00EA0988" w:rsidP="00F16081">
      <w:pPr>
        <w:pStyle w:val="Heading2"/>
      </w:pPr>
      <w:bookmarkStart w:id="99" w:name="_Toc101366862"/>
      <w:r>
        <w:t>Deferred payment</w:t>
      </w:r>
      <w:bookmarkEnd w:id="99"/>
    </w:p>
    <w:p w14:paraId="6BEE062C" w14:textId="125F56F0" w:rsidR="00EA0988" w:rsidRDefault="00EA0988" w:rsidP="00EA0988">
      <w:pPr>
        <w:jc w:val="both"/>
        <w:rPr>
          <w:lang w:val="en-GB"/>
        </w:rPr>
      </w:pPr>
      <w:r w:rsidRPr="00EA0988">
        <w:rPr>
          <w:lang w:val="en-GB"/>
        </w:rPr>
        <w:t>Frequently referred to as ‘hardship provisions’, a council can defer the payment of rates should a ratepayer apply and meet the relevant conditions. This has generally been applied in circumstances of financial hardship and arrangements have been made by the individual ratepayer for the payment of rates over a period of time. The result of the Council allowing a deferral is generally an ‘arrangement to pay’, that is, an agreed timeframe or schedule for rate payments</w:t>
      </w:r>
      <w:r>
        <w:rPr>
          <w:lang w:val="en-GB"/>
        </w:rPr>
        <w:t>.</w:t>
      </w:r>
    </w:p>
    <w:p w14:paraId="51B358AB" w14:textId="621765F0" w:rsidR="00EA0988" w:rsidRDefault="00EA0988" w:rsidP="00EA0988">
      <w:pPr>
        <w:jc w:val="both"/>
        <w:rPr>
          <w:lang w:val="en-GB"/>
        </w:rPr>
      </w:pPr>
      <w:r>
        <w:rPr>
          <w:lang w:val="en-GB"/>
        </w:rPr>
        <w:t xml:space="preserve">A council can change the arrangement </w:t>
      </w:r>
      <w:r w:rsidR="00C10E71">
        <w:rPr>
          <w:lang w:val="en-GB"/>
        </w:rPr>
        <w:t>if the ratepayer’s circumstances change or if the relevant property is sold.</w:t>
      </w:r>
    </w:p>
    <w:p w14:paraId="4F7158A7" w14:textId="007C9029" w:rsidR="00C10E71" w:rsidRDefault="00266881" w:rsidP="00F16081">
      <w:pPr>
        <w:pStyle w:val="Heading2"/>
      </w:pPr>
      <w:bookmarkStart w:id="100" w:name="_Toc101366863"/>
      <w:r>
        <w:t>Waivers</w:t>
      </w:r>
      <w:bookmarkEnd w:id="100"/>
    </w:p>
    <w:p w14:paraId="13500631" w14:textId="114FCA24" w:rsidR="00266881" w:rsidRDefault="00266881" w:rsidP="00266881">
      <w:pPr>
        <w:jc w:val="both"/>
        <w:rPr>
          <w:lang w:val="en-GB"/>
        </w:rPr>
      </w:pPr>
      <w:r w:rsidRPr="00266881">
        <w:rPr>
          <w:lang w:val="en-GB"/>
        </w:rPr>
        <w:t>Councils can waive rates and charges or interest where a person suffers financial hardship. The City of Port Phillip waives</w:t>
      </w:r>
      <w:r w:rsidR="004340CB">
        <w:rPr>
          <w:lang w:val="en-GB"/>
        </w:rPr>
        <w:t xml:space="preserve"> one-off</w:t>
      </w:r>
      <w:r w:rsidRPr="00266881">
        <w:rPr>
          <w:lang w:val="en-GB"/>
        </w:rPr>
        <w:t xml:space="preserve"> rates </w:t>
      </w:r>
      <w:r w:rsidR="001A0588">
        <w:rPr>
          <w:lang w:val="en-GB"/>
        </w:rPr>
        <w:t xml:space="preserve">in </w:t>
      </w:r>
      <w:r w:rsidR="00CA5CF6">
        <w:rPr>
          <w:lang w:val="en-GB"/>
        </w:rPr>
        <w:t>circumstances</w:t>
      </w:r>
      <w:r w:rsidR="001A0588">
        <w:rPr>
          <w:lang w:val="en-GB"/>
        </w:rPr>
        <w:t xml:space="preserve"> of extreme financial hard</w:t>
      </w:r>
      <w:r w:rsidR="00541AA5">
        <w:rPr>
          <w:lang w:val="en-GB"/>
        </w:rPr>
        <w:t>ship</w:t>
      </w:r>
      <w:r w:rsidR="00D82525">
        <w:rPr>
          <w:lang w:val="en-GB"/>
        </w:rPr>
        <w:t xml:space="preserve"> upon application. General</w:t>
      </w:r>
      <w:r w:rsidR="0031483C">
        <w:rPr>
          <w:lang w:val="en-GB"/>
        </w:rPr>
        <w:t xml:space="preserve"> ratepayers are encouraged to enter into a payment or deferral arrangement.</w:t>
      </w:r>
      <w:r w:rsidRPr="00266881">
        <w:rPr>
          <w:lang w:val="en-GB"/>
        </w:rPr>
        <w:t xml:space="preserve"> The City of Port Phillip applies a policy where 50% of the interest can be waived where a pensioner defers payment of rates.</w:t>
      </w:r>
    </w:p>
    <w:p w14:paraId="40064855" w14:textId="216E74A8" w:rsidR="00266881" w:rsidRDefault="00266881" w:rsidP="00F16081">
      <w:pPr>
        <w:pStyle w:val="Heading2"/>
      </w:pPr>
      <w:bookmarkStart w:id="101" w:name="_Toc101366864"/>
      <w:r>
        <w:t>Pensioner rebates</w:t>
      </w:r>
      <w:bookmarkEnd w:id="101"/>
    </w:p>
    <w:p w14:paraId="4DE67ACF" w14:textId="0ADFDA60" w:rsidR="00266881" w:rsidRPr="00266881" w:rsidRDefault="00266881" w:rsidP="00266881">
      <w:pPr>
        <w:jc w:val="both"/>
        <w:rPr>
          <w:lang w:val="en-GB"/>
        </w:rPr>
      </w:pPr>
      <w:r w:rsidRPr="00266881">
        <w:rPr>
          <w:lang w:val="en-GB"/>
        </w:rPr>
        <w:t xml:space="preserve">Pensioner rebates are a waiver of the whole or part of any rates, charges or interest obligation for eligible recipients under the State Concessions Act 2004 (which include pensioners and residents of retirement villages). In a process administered by the </w:t>
      </w:r>
      <w:r>
        <w:rPr>
          <w:lang w:val="en-GB"/>
        </w:rPr>
        <w:t>Victorian</w:t>
      </w:r>
      <w:r w:rsidRPr="00266881">
        <w:rPr>
          <w:lang w:val="en-GB"/>
        </w:rPr>
        <w:t xml:space="preserve"> Government, a concession on municipal rates is available to assist eligible low income ratepayers afford rates on their place of residence. Where only part of a property is being used as a place of residence, each part of the property is to be rated separately.</w:t>
      </w:r>
    </w:p>
    <w:p w14:paraId="00294434" w14:textId="2B0E4532" w:rsidR="00266881" w:rsidRPr="00266881" w:rsidRDefault="00266881" w:rsidP="00266881">
      <w:pPr>
        <w:widowControl w:val="0"/>
        <w:autoSpaceDE w:val="0"/>
        <w:autoSpaceDN w:val="0"/>
        <w:adjustRightInd w:val="0"/>
        <w:spacing w:line="276" w:lineRule="auto"/>
        <w:rPr>
          <w:lang w:val="en-GB"/>
        </w:rPr>
      </w:pPr>
      <w:r w:rsidRPr="00266881">
        <w:rPr>
          <w:lang w:val="en-GB"/>
        </w:rPr>
        <w:t xml:space="preserve">In order to support its policy objectives, the City of Port Phillip also provides a supplementary rebate to eligible pensioners in addition to the </w:t>
      </w:r>
      <w:r>
        <w:rPr>
          <w:lang w:val="en-GB"/>
        </w:rPr>
        <w:t xml:space="preserve">Victorian </w:t>
      </w:r>
      <w:r w:rsidRPr="00266881">
        <w:rPr>
          <w:lang w:val="en-GB"/>
        </w:rPr>
        <w:t>Government rebate.</w:t>
      </w:r>
    </w:p>
    <w:p w14:paraId="51C0DBF7" w14:textId="77777777" w:rsidR="00266881" w:rsidRPr="00266881" w:rsidRDefault="00266881" w:rsidP="00266881">
      <w:pPr>
        <w:widowControl w:val="0"/>
        <w:autoSpaceDE w:val="0"/>
        <w:autoSpaceDN w:val="0"/>
        <w:adjustRightInd w:val="0"/>
        <w:spacing w:line="276" w:lineRule="auto"/>
        <w:rPr>
          <w:lang w:val="en-GB"/>
        </w:rPr>
      </w:pPr>
      <w:r w:rsidRPr="00266881">
        <w:rPr>
          <w:lang w:val="en-GB"/>
        </w:rPr>
        <w:t>To be eligible for the municipal rate concession, the ratepayer must be the holder of a:</w:t>
      </w:r>
    </w:p>
    <w:p w14:paraId="6EC37496" w14:textId="269EA38A" w:rsidR="00266881" w:rsidRPr="00266881" w:rsidRDefault="00266881" w:rsidP="0026688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lang w:val="en-GB"/>
        </w:rPr>
      </w:pPr>
      <w:r w:rsidRPr="00266881">
        <w:rPr>
          <w:lang w:val="en-GB"/>
        </w:rPr>
        <w:t xml:space="preserve">Pensioner Concession Card issued by Centrelink or Department of Veterans Affairs DVA) </w:t>
      </w:r>
    </w:p>
    <w:p w14:paraId="5B5C80DF" w14:textId="77777777" w:rsidR="00266881" w:rsidRPr="00266881" w:rsidRDefault="00266881" w:rsidP="0026688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lang w:val="en-GB"/>
        </w:rPr>
      </w:pPr>
      <w:r w:rsidRPr="00266881">
        <w:rPr>
          <w:lang w:val="en-GB"/>
        </w:rPr>
        <w:t>DVA Gold Card - Totally and Permanently Incapacitated</w:t>
      </w:r>
    </w:p>
    <w:p w14:paraId="06C8D7E3" w14:textId="77777777" w:rsidR="00266881" w:rsidRPr="00266881" w:rsidRDefault="00266881" w:rsidP="0026688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lang w:val="en-GB"/>
        </w:rPr>
      </w:pPr>
      <w:r w:rsidRPr="00266881">
        <w:rPr>
          <w:lang w:val="en-GB"/>
        </w:rPr>
        <w:t>DVA Gold Card - War Widow.</w:t>
      </w:r>
    </w:p>
    <w:p w14:paraId="2E0815FC" w14:textId="6D4F1E44" w:rsidR="001330CB" w:rsidRDefault="00266881" w:rsidP="00266881">
      <w:pPr>
        <w:widowControl w:val="0"/>
        <w:autoSpaceDE w:val="0"/>
        <w:autoSpaceDN w:val="0"/>
        <w:adjustRightInd w:val="0"/>
        <w:spacing w:line="276" w:lineRule="auto"/>
        <w:jc w:val="both"/>
        <w:rPr>
          <w:lang w:val="en-GB"/>
        </w:rPr>
      </w:pPr>
      <w:r w:rsidRPr="00266881">
        <w:rPr>
          <w:lang w:val="en-GB"/>
        </w:rPr>
        <w:t>Applications for municipal rates concessions are made directly to the City of Port Phillip. Where a rate rebate was recognised the previous year and where the ratepayer remains eligible, no further application is required.</w:t>
      </w:r>
    </w:p>
    <w:p w14:paraId="46D1D7A1" w14:textId="2FB0FEBC" w:rsidR="00266881" w:rsidRDefault="00266881" w:rsidP="00F16081">
      <w:pPr>
        <w:pStyle w:val="Heading2"/>
      </w:pPr>
      <w:bookmarkStart w:id="102" w:name="_Toc101366865"/>
      <w:r>
        <w:t>A compassionate approach to debt management</w:t>
      </w:r>
      <w:bookmarkEnd w:id="102"/>
    </w:p>
    <w:p w14:paraId="590C9754" w14:textId="77777777" w:rsidR="00E86701" w:rsidRDefault="00266881" w:rsidP="00C05D92">
      <w:pPr>
        <w:jc w:val="both"/>
        <w:rPr>
          <w:lang w:val="en-GB"/>
        </w:rPr>
      </w:pPr>
      <w:r w:rsidRPr="00C05D92">
        <w:rPr>
          <w:lang w:val="en-GB"/>
        </w:rPr>
        <w:t xml:space="preserve">The City of Port Phillip applies </w:t>
      </w:r>
      <w:r w:rsidR="00C05D92" w:rsidRPr="00C05D92">
        <w:rPr>
          <w:lang w:val="en-GB"/>
        </w:rPr>
        <w:t>a compassionate approach to those ratepayers who cannot readily meet their rates debt. All options available within this rating strategy are proactively explored with ratepayers before debt collection measures are escalated.</w:t>
      </w:r>
    </w:p>
    <w:tbl>
      <w:tblPr>
        <w:tblStyle w:val="TableGrid"/>
        <w:tblW w:w="0" w:type="auto"/>
        <w:shd w:val="clear" w:color="auto" w:fill="0090A3"/>
        <w:tblLook w:val="04A0" w:firstRow="1" w:lastRow="0" w:firstColumn="1" w:lastColumn="0" w:noHBand="0" w:noVBand="1"/>
      </w:tblPr>
      <w:tblGrid>
        <w:gridCol w:w="9628"/>
      </w:tblGrid>
      <w:tr w:rsidR="00E86701" w:rsidRPr="001330CB" w14:paraId="4C883678" w14:textId="77777777" w:rsidTr="0063619C">
        <w:tc>
          <w:tcPr>
            <w:tcW w:w="10109" w:type="dxa"/>
            <w:shd w:val="clear" w:color="auto" w:fill="0090A3"/>
          </w:tcPr>
          <w:p w14:paraId="01A7D279" w14:textId="0216A100" w:rsidR="00E86701" w:rsidRPr="00E86701" w:rsidRDefault="00E86701" w:rsidP="0063619C">
            <w:pPr>
              <w:widowControl w:val="0"/>
              <w:autoSpaceDE w:val="0"/>
              <w:autoSpaceDN w:val="0"/>
              <w:adjustRightInd w:val="0"/>
              <w:spacing w:line="276" w:lineRule="auto"/>
              <w:jc w:val="both"/>
              <w:rPr>
                <w:b/>
                <w:color w:val="FFFFFF" w:themeColor="background1"/>
                <w:sz w:val="24"/>
                <w:szCs w:val="24"/>
                <w:lang w:val="en-GB"/>
              </w:rPr>
            </w:pPr>
            <w:r w:rsidRPr="00E86701">
              <w:rPr>
                <w:b/>
                <w:color w:val="FFFFFF" w:themeColor="background1"/>
                <w:sz w:val="24"/>
                <w:szCs w:val="24"/>
                <w:lang w:val="en-GB"/>
              </w:rPr>
              <w:t xml:space="preserve">Rating Principle </w:t>
            </w:r>
            <w:r w:rsidR="00312F23">
              <w:rPr>
                <w:b/>
                <w:color w:val="FFFFFF" w:themeColor="background1"/>
                <w:sz w:val="24"/>
                <w:szCs w:val="24"/>
                <w:lang w:val="en-GB"/>
              </w:rPr>
              <w:t>9</w:t>
            </w:r>
          </w:p>
          <w:p w14:paraId="17B60092" w14:textId="561EF7BD" w:rsidR="00E86701" w:rsidRPr="00E86701" w:rsidRDefault="00E86701" w:rsidP="00E86701">
            <w:pPr>
              <w:widowControl w:val="0"/>
              <w:autoSpaceDE w:val="0"/>
              <w:autoSpaceDN w:val="0"/>
              <w:adjustRightInd w:val="0"/>
              <w:spacing w:line="276" w:lineRule="auto"/>
              <w:jc w:val="both"/>
              <w:rPr>
                <w:color w:val="FFFFFF" w:themeColor="background1"/>
                <w:sz w:val="24"/>
                <w:szCs w:val="24"/>
                <w:lang w:val="en-GB"/>
              </w:rPr>
            </w:pPr>
            <w:r w:rsidRPr="00E86701">
              <w:rPr>
                <w:color w:val="FFFFFF" w:themeColor="background1"/>
                <w:sz w:val="24"/>
                <w:szCs w:val="24"/>
                <w:lang w:val="en-GB"/>
              </w:rPr>
              <w:t>The C</w:t>
            </w:r>
            <w:r w:rsidR="00D363DE">
              <w:rPr>
                <w:color w:val="FFFFFF" w:themeColor="background1"/>
                <w:sz w:val="24"/>
                <w:szCs w:val="24"/>
                <w:lang w:val="en-GB"/>
              </w:rPr>
              <w:t>ouncil</w:t>
            </w:r>
            <w:r w:rsidRPr="00E86701">
              <w:rPr>
                <w:color w:val="FFFFFF" w:themeColor="background1"/>
                <w:sz w:val="24"/>
                <w:szCs w:val="24"/>
                <w:lang w:val="en-GB"/>
              </w:rPr>
              <w:t xml:space="preserve"> is committed to providing targeted support for the financially disadvantaged in the community through the thoughtful use of: </w:t>
            </w:r>
          </w:p>
          <w:p w14:paraId="3C409E7B" w14:textId="77777777" w:rsidR="00E86701" w:rsidRPr="00E86701" w:rsidRDefault="00E86701" w:rsidP="00E8670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color w:val="FFFFFF" w:themeColor="background1"/>
                <w:sz w:val="24"/>
                <w:szCs w:val="24"/>
                <w:lang w:val="en-GB"/>
              </w:rPr>
            </w:pPr>
            <w:r w:rsidRPr="00E86701">
              <w:rPr>
                <w:color w:val="FFFFFF" w:themeColor="background1"/>
                <w:sz w:val="24"/>
                <w:szCs w:val="24"/>
                <w:lang w:val="en-GB"/>
              </w:rPr>
              <w:t>Rates charged to the property</w:t>
            </w:r>
          </w:p>
          <w:p w14:paraId="160CAC6D" w14:textId="77777777" w:rsidR="00E86701" w:rsidRPr="00E86701" w:rsidRDefault="00E86701" w:rsidP="00E8670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color w:val="FFFFFF" w:themeColor="background1"/>
                <w:sz w:val="24"/>
                <w:szCs w:val="24"/>
                <w:lang w:val="en-GB"/>
              </w:rPr>
            </w:pPr>
            <w:r w:rsidRPr="00E86701">
              <w:rPr>
                <w:color w:val="FFFFFF" w:themeColor="background1"/>
                <w:sz w:val="24"/>
                <w:szCs w:val="24"/>
                <w:lang w:val="en-GB"/>
              </w:rPr>
              <w:t>Deferred payments (otherwise referred to as ‘hardship provisions’)</w:t>
            </w:r>
          </w:p>
          <w:p w14:paraId="059905BC" w14:textId="5DBC0667" w:rsidR="00231967" w:rsidRDefault="00231967" w:rsidP="00E8670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color w:val="FFFFFF" w:themeColor="background1"/>
                <w:sz w:val="24"/>
                <w:szCs w:val="24"/>
                <w:lang w:val="en-GB"/>
              </w:rPr>
            </w:pPr>
            <w:r>
              <w:rPr>
                <w:color w:val="FFFFFF" w:themeColor="background1"/>
                <w:sz w:val="24"/>
                <w:szCs w:val="24"/>
                <w:lang w:val="en-GB"/>
              </w:rPr>
              <w:t xml:space="preserve">Waivers for </w:t>
            </w:r>
            <w:r w:rsidR="00CA5CF6">
              <w:rPr>
                <w:color w:val="FFFFFF" w:themeColor="background1"/>
                <w:sz w:val="24"/>
                <w:szCs w:val="24"/>
                <w:lang w:val="en-GB"/>
              </w:rPr>
              <w:t>extreme financial hardship circumstances</w:t>
            </w:r>
          </w:p>
          <w:p w14:paraId="7F3F9FF8" w14:textId="48126AD3" w:rsidR="00E86701" w:rsidRPr="00E86701" w:rsidRDefault="00E86701" w:rsidP="00E8670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color w:val="FFFFFF" w:themeColor="background1"/>
                <w:sz w:val="24"/>
                <w:szCs w:val="24"/>
                <w:lang w:val="en-GB"/>
              </w:rPr>
            </w:pPr>
            <w:r w:rsidRPr="00E86701">
              <w:rPr>
                <w:color w:val="FFFFFF" w:themeColor="background1"/>
                <w:sz w:val="24"/>
                <w:szCs w:val="24"/>
                <w:lang w:val="en-GB"/>
              </w:rPr>
              <w:t>Pensioner rebates (including a supplementary City of Port Phillip sponsored rate rebate)</w:t>
            </w:r>
          </w:p>
          <w:p w14:paraId="46E8ED25" w14:textId="77777777" w:rsidR="00E86701" w:rsidRPr="00E86701" w:rsidRDefault="00E86701" w:rsidP="00E86701">
            <w:pPr>
              <w:widowControl w:val="0"/>
              <w:numPr>
                <w:ilvl w:val="0"/>
                <w:numId w:val="13"/>
              </w:numPr>
              <w:tabs>
                <w:tab w:val="clear" w:pos="-3060"/>
                <w:tab w:val="clear" w:pos="-2340"/>
                <w:tab w:val="clear" w:pos="6300"/>
                <w:tab w:val="left" w:pos="243"/>
                <w:tab w:val="left" w:pos="918"/>
              </w:tabs>
              <w:suppressAutoHyphens w:val="0"/>
              <w:autoSpaceDE w:val="0"/>
              <w:autoSpaceDN w:val="0"/>
              <w:adjustRightInd w:val="0"/>
              <w:spacing w:after="0" w:line="276" w:lineRule="auto"/>
              <w:ind w:left="709"/>
              <w:rPr>
                <w:color w:val="FFFFFF" w:themeColor="background1"/>
                <w:sz w:val="24"/>
                <w:szCs w:val="24"/>
                <w:lang w:val="en-GB"/>
              </w:rPr>
            </w:pPr>
            <w:r w:rsidRPr="00E86701">
              <w:rPr>
                <w:color w:val="FFFFFF" w:themeColor="background1"/>
                <w:sz w:val="24"/>
                <w:szCs w:val="24"/>
                <w:lang w:val="en-GB"/>
              </w:rPr>
              <w:t>A compassionate approach to debt management.</w:t>
            </w:r>
          </w:p>
          <w:p w14:paraId="10EC1903" w14:textId="50A93107" w:rsidR="00E86701" w:rsidRPr="001330CB" w:rsidRDefault="00E86701" w:rsidP="00E86701">
            <w:pPr>
              <w:widowControl w:val="0"/>
              <w:autoSpaceDE w:val="0"/>
              <w:autoSpaceDN w:val="0"/>
              <w:adjustRightInd w:val="0"/>
              <w:spacing w:line="276" w:lineRule="auto"/>
              <w:jc w:val="both"/>
              <w:rPr>
                <w:color w:val="FFFFFF" w:themeColor="background1"/>
                <w:sz w:val="24"/>
                <w:highlight w:val="red"/>
                <w:lang w:val="en-GB"/>
              </w:rPr>
            </w:pPr>
            <w:r w:rsidRPr="00E86701">
              <w:rPr>
                <w:color w:val="FFFFFF" w:themeColor="background1"/>
                <w:sz w:val="24"/>
                <w:szCs w:val="24"/>
                <w:lang w:val="en-GB"/>
              </w:rPr>
              <w:t>Support for residents who are not property owners will be achieved through a range of social and community support mechanisms.</w:t>
            </w:r>
          </w:p>
        </w:tc>
      </w:tr>
    </w:tbl>
    <w:p w14:paraId="1CA7A412" w14:textId="33A0B87B" w:rsidR="0063619C" w:rsidRDefault="0063619C" w:rsidP="00C05D92">
      <w:pPr>
        <w:jc w:val="both"/>
      </w:pPr>
    </w:p>
    <w:p w14:paraId="37D20ADF" w14:textId="77777777" w:rsidR="0063619C" w:rsidRDefault="0063619C">
      <w:pPr>
        <w:tabs>
          <w:tab w:val="clear" w:pos="-3060"/>
          <w:tab w:val="clear" w:pos="-2340"/>
          <w:tab w:val="clear" w:pos="6300"/>
        </w:tabs>
        <w:suppressAutoHyphens w:val="0"/>
        <w:spacing w:after="160" w:line="259" w:lineRule="auto"/>
      </w:pPr>
      <w:r>
        <w:br w:type="page"/>
      </w:r>
    </w:p>
    <w:p w14:paraId="059183B5" w14:textId="7B0200D1" w:rsidR="00E86701" w:rsidRDefault="00E86701" w:rsidP="00F16081">
      <w:pPr>
        <w:pStyle w:val="Heading1"/>
      </w:pPr>
      <w:bookmarkStart w:id="103" w:name="_Toc101366866"/>
      <w:r>
        <w:t>Non-rateable properties and other rate reductions</w:t>
      </w:r>
      <w:bookmarkEnd w:id="103"/>
    </w:p>
    <w:p w14:paraId="6DD7836A" w14:textId="37BA8671" w:rsidR="00E86701" w:rsidRDefault="00E86701">
      <w:pPr>
        <w:pStyle w:val="Heading2"/>
        <w:numPr>
          <w:ilvl w:val="1"/>
          <w:numId w:val="20"/>
        </w:numPr>
      </w:pPr>
      <w:bookmarkStart w:id="104" w:name="_Toc101366867"/>
      <w:r>
        <w:t>Rebates</w:t>
      </w:r>
      <w:bookmarkEnd w:id="104"/>
    </w:p>
    <w:p w14:paraId="199EA038" w14:textId="77777777" w:rsidR="00E86701" w:rsidRPr="00E86701" w:rsidRDefault="00E86701" w:rsidP="00E86701">
      <w:pPr>
        <w:widowControl w:val="0"/>
        <w:autoSpaceDE w:val="0"/>
        <w:autoSpaceDN w:val="0"/>
        <w:adjustRightInd w:val="0"/>
        <w:spacing w:line="276" w:lineRule="auto"/>
        <w:jc w:val="both"/>
        <w:rPr>
          <w:lang w:val="en-GB"/>
        </w:rPr>
      </w:pPr>
      <w:r w:rsidRPr="00E86701">
        <w:rPr>
          <w:lang w:val="en-GB"/>
        </w:rPr>
        <w:t>Under the LGA, covering rebates and concessions, a council may grant a rebate or concession in four circumstances:</w:t>
      </w:r>
    </w:p>
    <w:p w14:paraId="75754C32" w14:textId="77777777" w:rsidR="00E86701" w:rsidRPr="00E86701" w:rsidRDefault="00E86701" w:rsidP="00E80D00">
      <w:pPr>
        <w:widowControl w:val="0"/>
        <w:numPr>
          <w:ilvl w:val="0"/>
          <w:numId w:val="23"/>
        </w:numPr>
        <w:tabs>
          <w:tab w:val="clear" w:pos="-3060"/>
          <w:tab w:val="clear" w:pos="-2340"/>
          <w:tab w:val="clear" w:pos="6300"/>
          <w:tab w:val="left" w:pos="243"/>
          <w:tab w:val="left" w:pos="993"/>
        </w:tabs>
        <w:suppressAutoHyphens w:val="0"/>
        <w:autoSpaceDE w:val="0"/>
        <w:autoSpaceDN w:val="0"/>
        <w:adjustRightInd w:val="0"/>
        <w:spacing w:after="0" w:line="276" w:lineRule="auto"/>
        <w:ind w:left="993" w:hanging="273"/>
        <w:jc w:val="both"/>
        <w:rPr>
          <w:lang w:val="en-GB"/>
        </w:rPr>
      </w:pPr>
      <w:r w:rsidRPr="00E86701">
        <w:rPr>
          <w:lang w:val="en-GB"/>
        </w:rPr>
        <w:t>to assist the proper development of the municipal district</w:t>
      </w:r>
    </w:p>
    <w:p w14:paraId="2FF921C9" w14:textId="77777777" w:rsidR="00E86701" w:rsidRPr="00E86701" w:rsidRDefault="00E86701" w:rsidP="00E80D00">
      <w:pPr>
        <w:widowControl w:val="0"/>
        <w:numPr>
          <w:ilvl w:val="0"/>
          <w:numId w:val="23"/>
        </w:numPr>
        <w:tabs>
          <w:tab w:val="clear" w:pos="-3060"/>
          <w:tab w:val="clear" w:pos="-2340"/>
          <w:tab w:val="clear" w:pos="6300"/>
          <w:tab w:val="left" w:pos="243"/>
          <w:tab w:val="left" w:pos="1134"/>
        </w:tabs>
        <w:suppressAutoHyphens w:val="0"/>
        <w:autoSpaceDE w:val="0"/>
        <w:autoSpaceDN w:val="0"/>
        <w:adjustRightInd w:val="0"/>
        <w:spacing w:after="0" w:line="276" w:lineRule="auto"/>
        <w:ind w:left="993" w:hanging="273"/>
        <w:jc w:val="both"/>
        <w:rPr>
          <w:lang w:val="en-GB"/>
        </w:rPr>
      </w:pPr>
      <w:r w:rsidRPr="00E86701">
        <w:rPr>
          <w:lang w:val="en-GB"/>
        </w:rPr>
        <w:t>to preserve buildings or places in the municipal district which are of historical or environmental interest</w:t>
      </w:r>
    </w:p>
    <w:p w14:paraId="0391ED2C" w14:textId="77777777" w:rsidR="00E86701" w:rsidRPr="00E86701" w:rsidRDefault="00E86701" w:rsidP="00E80D00">
      <w:pPr>
        <w:widowControl w:val="0"/>
        <w:numPr>
          <w:ilvl w:val="0"/>
          <w:numId w:val="23"/>
        </w:numPr>
        <w:tabs>
          <w:tab w:val="clear" w:pos="-3060"/>
          <w:tab w:val="clear" w:pos="-2340"/>
          <w:tab w:val="clear" w:pos="6300"/>
          <w:tab w:val="left" w:pos="243"/>
        </w:tabs>
        <w:suppressAutoHyphens w:val="0"/>
        <w:autoSpaceDE w:val="0"/>
        <w:autoSpaceDN w:val="0"/>
        <w:adjustRightInd w:val="0"/>
        <w:spacing w:after="0" w:line="276" w:lineRule="auto"/>
        <w:ind w:left="993" w:hanging="273"/>
        <w:jc w:val="both"/>
        <w:rPr>
          <w:lang w:val="en-GB"/>
        </w:rPr>
      </w:pPr>
      <w:r w:rsidRPr="00E86701">
        <w:rPr>
          <w:lang w:val="en-GB"/>
        </w:rPr>
        <w:t>to restore or maintain buildings or places of historical, environmental, architectural or scientific importance in the municipal district</w:t>
      </w:r>
    </w:p>
    <w:p w14:paraId="2323D9EA" w14:textId="31909185" w:rsidR="00E80D00" w:rsidRPr="00E80D00" w:rsidRDefault="00E86701" w:rsidP="005A2D9F">
      <w:pPr>
        <w:widowControl w:val="0"/>
        <w:numPr>
          <w:ilvl w:val="0"/>
          <w:numId w:val="23"/>
        </w:numPr>
        <w:tabs>
          <w:tab w:val="clear" w:pos="-3060"/>
          <w:tab w:val="clear" w:pos="-2340"/>
          <w:tab w:val="clear" w:pos="6300"/>
          <w:tab w:val="left" w:pos="243"/>
          <w:tab w:val="left" w:pos="1134"/>
        </w:tabs>
        <w:suppressAutoHyphens w:val="0"/>
        <w:autoSpaceDE w:val="0"/>
        <w:autoSpaceDN w:val="0"/>
        <w:adjustRightInd w:val="0"/>
        <w:spacing w:line="276" w:lineRule="auto"/>
        <w:ind w:left="993" w:hanging="273"/>
        <w:jc w:val="both"/>
        <w:rPr>
          <w:lang w:val="en-GB"/>
        </w:rPr>
      </w:pPr>
      <w:r w:rsidRPr="00E86701">
        <w:rPr>
          <w:lang w:val="en-GB"/>
        </w:rPr>
        <w:t>to assist the proper development of part of the municipal district.</w:t>
      </w:r>
    </w:p>
    <w:p w14:paraId="304ADD9B" w14:textId="4E3A4540" w:rsidR="00646811" w:rsidRDefault="00A04D87" w:rsidP="005A2D9F">
      <w:pPr>
        <w:jc w:val="both"/>
        <w:rPr>
          <w:lang w:val="en-GB"/>
        </w:rPr>
      </w:pPr>
      <w:r>
        <w:rPr>
          <w:lang w:val="en-GB"/>
        </w:rPr>
        <w:t xml:space="preserve">In accordance with </w:t>
      </w:r>
      <w:r w:rsidR="00FD5D57">
        <w:rPr>
          <w:lang w:val="en-GB"/>
        </w:rPr>
        <w:t>item four,</w:t>
      </w:r>
      <w:r w:rsidR="0088379F">
        <w:rPr>
          <w:lang w:val="en-GB"/>
        </w:rPr>
        <w:t xml:space="preserve"> to assist the proper development of part of the municipal district, </w:t>
      </w:r>
      <w:r w:rsidR="00E80D00">
        <w:rPr>
          <w:lang w:val="en-GB"/>
        </w:rPr>
        <w:t>Council currently pr</w:t>
      </w:r>
      <w:r w:rsidR="005A2D9F">
        <w:rPr>
          <w:lang w:val="en-GB"/>
        </w:rPr>
        <w:t xml:space="preserve">ovides </w:t>
      </w:r>
      <w:r w:rsidR="0088379F">
        <w:rPr>
          <w:lang w:val="en-GB"/>
        </w:rPr>
        <w:t xml:space="preserve">a 50 per cent </w:t>
      </w:r>
      <w:r w:rsidR="005A2D9F">
        <w:rPr>
          <w:lang w:val="en-GB"/>
        </w:rPr>
        <w:t xml:space="preserve">rates concession </w:t>
      </w:r>
      <w:r w:rsidR="0088379F">
        <w:rPr>
          <w:lang w:val="en-GB"/>
        </w:rPr>
        <w:t xml:space="preserve">to </w:t>
      </w:r>
      <w:r>
        <w:rPr>
          <w:lang w:val="en-GB"/>
        </w:rPr>
        <w:t>the Director of Housing (Victorian Department of Health and Human Services) managed Public Housing Estates located in the City of Port Phillip</w:t>
      </w:r>
      <w:r w:rsidR="0088379F">
        <w:rPr>
          <w:lang w:val="en-GB"/>
        </w:rPr>
        <w:t xml:space="preserve"> </w:t>
      </w:r>
      <w:r w:rsidR="00B46703">
        <w:rPr>
          <w:lang w:val="en-GB"/>
        </w:rPr>
        <w:t>via a sponsorship agreement</w:t>
      </w:r>
      <w:r w:rsidR="008F5C25">
        <w:rPr>
          <w:lang w:val="en-GB"/>
        </w:rPr>
        <w:t xml:space="preserve"> for ‘Older Persons’</w:t>
      </w:r>
      <w:r w:rsidR="00B46703">
        <w:rPr>
          <w:lang w:val="en-GB"/>
        </w:rPr>
        <w:t>.</w:t>
      </w:r>
      <w:r w:rsidR="0088379F" w:rsidRPr="0088379F">
        <w:rPr>
          <w:lang w:val="en-GB"/>
        </w:rPr>
        <w:t xml:space="preserve"> </w:t>
      </w:r>
      <w:r w:rsidR="00B46703">
        <w:rPr>
          <w:lang w:val="en-GB"/>
        </w:rPr>
        <w:t xml:space="preserve">The sponsorship agreement allows Council </w:t>
      </w:r>
      <w:r w:rsidR="002F110F">
        <w:rPr>
          <w:lang w:val="en-GB"/>
        </w:rPr>
        <w:t xml:space="preserve">first option to </w:t>
      </w:r>
      <w:r>
        <w:rPr>
          <w:lang w:val="en-GB"/>
        </w:rPr>
        <w:t>nominate low income, disadvantaged, or inappropriately housed residents of the City of Port Phillip</w:t>
      </w:r>
      <w:r w:rsidR="00FD5D57">
        <w:rPr>
          <w:lang w:val="en-GB"/>
        </w:rPr>
        <w:t xml:space="preserve"> to new </w:t>
      </w:r>
      <w:r>
        <w:rPr>
          <w:lang w:val="en-GB"/>
        </w:rPr>
        <w:t>Public Housing Estate</w:t>
      </w:r>
      <w:r w:rsidR="006E135F">
        <w:rPr>
          <w:lang w:val="en-GB"/>
        </w:rPr>
        <w:t>s</w:t>
      </w:r>
      <w:r w:rsidR="00FD5D57">
        <w:rPr>
          <w:lang w:val="en-GB"/>
        </w:rPr>
        <w:t xml:space="preserve"> vacancies</w:t>
      </w:r>
      <w:r>
        <w:rPr>
          <w:lang w:val="en-GB"/>
        </w:rPr>
        <w:t xml:space="preserve"> </w:t>
      </w:r>
      <w:r w:rsidR="00B46703">
        <w:rPr>
          <w:lang w:val="en-GB"/>
        </w:rPr>
        <w:t>including:</w:t>
      </w:r>
    </w:p>
    <w:p w14:paraId="02F991D2" w14:textId="3D4BCD0D" w:rsidR="00B46703" w:rsidRDefault="00B46703" w:rsidP="00B46703">
      <w:pPr>
        <w:pStyle w:val="ListParagraph"/>
        <w:numPr>
          <w:ilvl w:val="0"/>
          <w:numId w:val="24"/>
        </w:numPr>
        <w:jc w:val="both"/>
        <w:rPr>
          <w:lang w:val="en-GB"/>
        </w:rPr>
      </w:pPr>
      <w:r>
        <w:rPr>
          <w:lang w:val="en-GB"/>
        </w:rPr>
        <w:t>“Inkerman Heights”</w:t>
      </w:r>
      <w:r w:rsidR="002F110F">
        <w:rPr>
          <w:lang w:val="en-GB"/>
        </w:rPr>
        <w:t xml:space="preserve"> Inkerman and Henryvill Streets, St Kil</w:t>
      </w:r>
      <w:r w:rsidR="00A04D87">
        <w:rPr>
          <w:lang w:val="en-GB"/>
        </w:rPr>
        <w:t>d</w:t>
      </w:r>
      <w:r w:rsidR="002F110F">
        <w:rPr>
          <w:lang w:val="en-GB"/>
        </w:rPr>
        <w:t>a</w:t>
      </w:r>
    </w:p>
    <w:p w14:paraId="55BD5670" w14:textId="62A26DA5" w:rsidR="00B46703" w:rsidRDefault="002F110F" w:rsidP="00B46703">
      <w:pPr>
        <w:pStyle w:val="ListParagraph"/>
        <w:numPr>
          <w:ilvl w:val="0"/>
          <w:numId w:val="24"/>
        </w:numPr>
        <w:jc w:val="both"/>
        <w:rPr>
          <w:lang w:val="en-GB"/>
        </w:rPr>
      </w:pPr>
      <w:r>
        <w:rPr>
          <w:lang w:val="en-GB"/>
        </w:rPr>
        <w:t>“</w:t>
      </w:r>
      <w:r w:rsidR="00B46703">
        <w:rPr>
          <w:lang w:val="en-GB"/>
        </w:rPr>
        <w:t>Pinaroo Village</w:t>
      </w:r>
      <w:r>
        <w:rPr>
          <w:lang w:val="en-GB"/>
        </w:rPr>
        <w:t>” Inkerman Street, St Kilda</w:t>
      </w:r>
    </w:p>
    <w:p w14:paraId="49774959" w14:textId="5D174FE9" w:rsidR="00B46703" w:rsidRDefault="00B46703" w:rsidP="00B46703">
      <w:pPr>
        <w:pStyle w:val="ListParagraph"/>
        <w:numPr>
          <w:ilvl w:val="0"/>
          <w:numId w:val="24"/>
        </w:numPr>
        <w:jc w:val="both"/>
        <w:rPr>
          <w:lang w:val="en-GB"/>
        </w:rPr>
      </w:pPr>
      <w:r>
        <w:rPr>
          <w:lang w:val="en-GB"/>
        </w:rPr>
        <w:t>482 Williamstown Road Port Melbourne</w:t>
      </w:r>
    </w:p>
    <w:p w14:paraId="62617C5A" w14:textId="0BD41E19" w:rsidR="00B46703" w:rsidRDefault="00B46703" w:rsidP="00B46703">
      <w:pPr>
        <w:pStyle w:val="ListParagraph"/>
        <w:numPr>
          <w:ilvl w:val="0"/>
          <w:numId w:val="24"/>
        </w:numPr>
        <w:jc w:val="both"/>
        <w:rPr>
          <w:lang w:val="en-GB"/>
        </w:rPr>
      </w:pPr>
      <w:r>
        <w:rPr>
          <w:lang w:val="en-GB"/>
        </w:rPr>
        <w:t>“Shorelin</w:t>
      </w:r>
      <w:r w:rsidR="006E135F">
        <w:rPr>
          <w:lang w:val="en-GB"/>
        </w:rPr>
        <w:t>e</w:t>
      </w:r>
      <w:r>
        <w:rPr>
          <w:lang w:val="en-GB"/>
        </w:rPr>
        <w:t>” Mills and Ashworth Streets, Albert Park</w:t>
      </w:r>
    </w:p>
    <w:p w14:paraId="261C560D" w14:textId="4C115FC5" w:rsidR="00B46703" w:rsidRPr="00B46703" w:rsidRDefault="00B46703" w:rsidP="00B46703">
      <w:pPr>
        <w:pStyle w:val="ListParagraph"/>
        <w:numPr>
          <w:ilvl w:val="0"/>
          <w:numId w:val="24"/>
        </w:numPr>
        <w:jc w:val="both"/>
        <w:rPr>
          <w:lang w:val="en-GB"/>
        </w:rPr>
      </w:pPr>
      <w:r>
        <w:rPr>
          <w:lang w:val="en-GB"/>
        </w:rPr>
        <w:t>“Layfield Court” Victoria Avenue, Albert Park.</w:t>
      </w:r>
    </w:p>
    <w:tbl>
      <w:tblPr>
        <w:tblStyle w:val="TableGrid"/>
        <w:tblW w:w="0" w:type="auto"/>
        <w:shd w:val="clear" w:color="auto" w:fill="0090A3"/>
        <w:tblLook w:val="04A0" w:firstRow="1" w:lastRow="0" w:firstColumn="1" w:lastColumn="0" w:noHBand="0" w:noVBand="1"/>
      </w:tblPr>
      <w:tblGrid>
        <w:gridCol w:w="9628"/>
      </w:tblGrid>
      <w:tr w:rsidR="00646811" w:rsidRPr="001330CB" w14:paraId="4B6053A1" w14:textId="77777777" w:rsidTr="0063619C">
        <w:tc>
          <w:tcPr>
            <w:tcW w:w="10109" w:type="dxa"/>
            <w:shd w:val="clear" w:color="auto" w:fill="0090A3"/>
          </w:tcPr>
          <w:p w14:paraId="0EC1423B" w14:textId="135BFC7F" w:rsidR="00646811" w:rsidRPr="00E86701" w:rsidRDefault="00646811" w:rsidP="0063619C">
            <w:pPr>
              <w:widowControl w:val="0"/>
              <w:autoSpaceDE w:val="0"/>
              <w:autoSpaceDN w:val="0"/>
              <w:adjustRightInd w:val="0"/>
              <w:spacing w:line="276" w:lineRule="auto"/>
              <w:jc w:val="both"/>
              <w:rPr>
                <w:b/>
                <w:color w:val="FFFFFF" w:themeColor="background1"/>
                <w:sz w:val="24"/>
                <w:szCs w:val="24"/>
                <w:lang w:val="en-GB"/>
              </w:rPr>
            </w:pPr>
            <w:bookmarkStart w:id="105" w:name="_Hlk511307636"/>
            <w:r w:rsidRPr="00E86701">
              <w:rPr>
                <w:b/>
                <w:color w:val="FFFFFF" w:themeColor="background1"/>
                <w:sz w:val="24"/>
                <w:szCs w:val="24"/>
                <w:lang w:val="en-GB"/>
              </w:rPr>
              <w:t xml:space="preserve">Rating Principle </w:t>
            </w:r>
            <w:r w:rsidR="00D03025">
              <w:rPr>
                <w:b/>
                <w:color w:val="FFFFFF" w:themeColor="background1"/>
                <w:sz w:val="24"/>
                <w:szCs w:val="24"/>
                <w:lang w:val="en-GB"/>
              </w:rPr>
              <w:t>10</w:t>
            </w:r>
          </w:p>
          <w:p w14:paraId="1A47B10F" w14:textId="58E380F4" w:rsidR="00FD5D57" w:rsidRPr="00A04D87" w:rsidRDefault="00646811" w:rsidP="00FD5D57">
            <w:pPr>
              <w:widowControl w:val="0"/>
              <w:autoSpaceDE w:val="0"/>
              <w:autoSpaceDN w:val="0"/>
              <w:adjustRightInd w:val="0"/>
              <w:spacing w:line="276" w:lineRule="auto"/>
              <w:jc w:val="both"/>
              <w:rPr>
                <w:color w:val="FFFFFF" w:themeColor="background1"/>
                <w:sz w:val="24"/>
                <w:szCs w:val="24"/>
                <w:lang w:val="en-GB"/>
              </w:rPr>
            </w:pPr>
            <w:r w:rsidRPr="00E86701">
              <w:rPr>
                <w:color w:val="FFFFFF" w:themeColor="background1"/>
                <w:sz w:val="24"/>
                <w:szCs w:val="24"/>
                <w:lang w:val="en-GB"/>
              </w:rPr>
              <w:t>The C</w:t>
            </w:r>
            <w:r w:rsidR="00F31DBB">
              <w:rPr>
                <w:color w:val="FFFFFF" w:themeColor="background1"/>
                <w:sz w:val="24"/>
                <w:szCs w:val="24"/>
                <w:lang w:val="en-GB"/>
              </w:rPr>
              <w:t>ouncil is</w:t>
            </w:r>
            <w:r w:rsidRPr="00E86701">
              <w:rPr>
                <w:color w:val="FFFFFF" w:themeColor="background1"/>
                <w:sz w:val="24"/>
                <w:szCs w:val="24"/>
                <w:lang w:val="en-GB"/>
              </w:rPr>
              <w:t xml:space="preserve"> committed to </w:t>
            </w:r>
            <w:r w:rsidR="003B14D3">
              <w:rPr>
                <w:color w:val="FFFFFF" w:themeColor="background1"/>
                <w:sz w:val="24"/>
                <w:szCs w:val="24"/>
                <w:lang w:val="en-GB"/>
              </w:rPr>
              <w:t>support the provision of affor</w:t>
            </w:r>
            <w:r w:rsidR="00217CBD">
              <w:rPr>
                <w:color w:val="FFFFFF" w:themeColor="background1"/>
                <w:sz w:val="24"/>
                <w:szCs w:val="24"/>
                <w:lang w:val="en-GB"/>
              </w:rPr>
              <w:t xml:space="preserve">dable housing for </w:t>
            </w:r>
            <w:r w:rsidR="00FD5D57">
              <w:rPr>
                <w:color w:val="FFFFFF" w:themeColor="background1"/>
                <w:sz w:val="24"/>
                <w:szCs w:val="24"/>
                <w:lang w:val="en-GB"/>
              </w:rPr>
              <w:t>Older Persons by providing a 50 per cent</w:t>
            </w:r>
            <w:r w:rsidR="003B14D3">
              <w:rPr>
                <w:color w:val="FFFFFF" w:themeColor="background1"/>
                <w:sz w:val="24"/>
                <w:szCs w:val="24"/>
                <w:lang w:val="en-GB"/>
              </w:rPr>
              <w:t xml:space="preserve"> </w:t>
            </w:r>
            <w:r>
              <w:rPr>
                <w:color w:val="FFFFFF" w:themeColor="background1"/>
                <w:sz w:val="24"/>
                <w:szCs w:val="24"/>
                <w:lang w:val="en-GB"/>
              </w:rPr>
              <w:t xml:space="preserve">rates concession </w:t>
            </w:r>
            <w:r w:rsidR="00FD5D57">
              <w:rPr>
                <w:color w:val="FFFFFF" w:themeColor="background1"/>
                <w:sz w:val="24"/>
                <w:szCs w:val="24"/>
                <w:lang w:val="en-GB"/>
              </w:rPr>
              <w:t>to</w:t>
            </w:r>
            <w:r w:rsidR="003B14D3">
              <w:rPr>
                <w:color w:val="FFFFFF" w:themeColor="background1"/>
                <w:sz w:val="24"/>
                <w:szCs w:val="24"/>
                <w:lang w:val="en-GB"/>
              </w:rPr>
              <w:t xml:space="preserve"> Public Housing Estates</w:t>
            </w:r>
            <w:r w:rsidR="00A04D87">
              <w:rPr>
                <w:color w:val="FFFFFF" w:themeColor="background1"/>
                <w:sz w:val="24"/>
                <w:szCs w:val="24"/>
                <w:lang w:val="en-GB"/>
              </w:rPr>
              <w:t xml:space="preserve"> located in the City of Port Phillip</w:t>
            </w:r>
            <w:r w:rsidR="003B14D3">
              <w:rPr>
                <w:color w:val="FFFFFF" w:themeColor="background1"/>
                <w:sz w:val="24"/>
                <w:szCs w:val="24"/>
                <w:lang w:val="en-GB"/>
              </w:rPr>
              <w:t xml:space="preserve"> man</w:t>
            </w:r>
            <w:r w:rsidR="00A04D87">
              <w:rPr>
                <w:color w:val="FFFFFF" w:themeColor="background1"/>
                <w:sz w:val="24"/>
                <w:szCs w:val="24"/>
                <w:lang w:val="en-GB"/>
              </w:rPr>
              <w:t xml:space="preserve">aged by the </w:t>
            </w:r>
            <w:r w:rsidR="00FD5D57">
              <w:rPr>
                <w:color w:val="FFFFFF" w:themeColor="background1"/>
                <w:sz w:val="24"/>
                <w:szCs w:val="24"/>
                <w:lang w:val="en-GB"/>
              </w:rPr>
              <w:t>Director</w:t>
            </w:r>
            <w:r w:rsidR="00A04D87">
              <w:rPr>
                <w:color w:val="FFFFFF" w:themeColor="background1"/>
                <w:sz w:val="24"/>
                <w:szCs w:val="24"/>
                <w:lang w:val="en-GB"/>
              </w:rPr>
              <w:t xml:space="preserve"> of Housing</w:t>
            </w:r>
            <w:r w:rsidR="00FD5D57">
              <w:rPr>
                <w:color w:val="FFFFFF" w:themeColor="background1"/>
                <w:sz w:val="24"/>
                <w:szCs w:val="24"/>
                <w:lang w:val="en-GB"/>
              </w:rPr>
              <w:t>.  This provides Council the fir</w:t>
            </w:r>
            <w:r w:rsidR="00A04D87">
              <w:rPr>
                <w:color w:val="FFFFFF" w:themeColor="background1"/>
                <w:sz w:val="24"/>
                <w:szCs w:val="24"/>
                <w:lang w:val="en-GB"/>
              </w:rPr>
              <w:t xml:space="preserve">st option to </w:t>
            </w:r>
            <w:r w:rsidR="00FD5D57">
              <w:rPr>
                <w:color w:val="FFFFFF" w:themeColor="background1"/>
                <w:sz w:val="24"/>
                <w:szCs w:val="24"/>
                <w:lang w:val="en-GB"/>
              </w:rPr>
              <w:t>nominate low income, disadvantaged, or inappropriately housed residents of the City of Port Phillip when vacancies become available</w:t>
            </w:r>
            <w:r w:rsidR="00C21C29">
              <w:rPr>
                <w:color w:val="FFFFFF" w:themeColor="background1"/>
                <w:sz w:val="24"/>
                <w:szCs w:val="24"/>
                <w:lang w:val="en-GB"/>
              </w:rPr>
              <w:t xml:space="preserve"> in these Public Housing Estates</w:t>
            </w:r>
            <w:r w:rsidR="00FD5D57">
              <w:rPr>
                <w:color w:val="FFFFFF" w:themeColor="background1"/>
                <w:sz w:val="24"/>
                <w:szCs w:val="24"/>
                <w:lang w:val="en-GB"/>
              </w:rPr>
              <w:t>.</w:t>
            </w:r>
          </w:p>
        </w:tc>
      </w:tr>
      <w:bookmarkEnd w:id="105"/>
    </w:tbl>
    <w:p w14:paraId="0B8D2548" w14:textId="77777777" w:rsidR="00646811" w:rsidRDefault="00646811" w:rsidP="00E86701">
      <w:pPr>
        <w:jc w:val="both"/>
        <w:rPr>
          <w:lang w:val="en-GB"/>
        </w:rPr>
      </w:pPr>
    </w:p>
    <w:p w14:paraId="78C2CB91" w14:textId="22EAFE2F" w:rsidR="00646811" w:rsidRDefault="00646811" w:rsidP="00F16081">
      <w:pPr>
        <w:pStyle w:val="Heading2"/>
      </w:pPr>
      <w:bookmarkStart w:id="106" w:name="_Toc101366868"/>
      <w:r>
        <w:t>Non-</w:t>
      </w:r>
      <w:proofErr w:type="spellStart"/>
      <w:r>
        <w:t>rateable</w:t>
      </w:r>
      <w:proofErr w:type="spellEnd"/>
      <w:r>
        <w:t xml:space="preserve"> properties</w:t>
      </w:r>
      <w:bookmarkEnd w:id="106"/>
    </w:p>
    <w:p w14:paraId="19A65D13" w14:textId="77777777" w:rsidR="00646811" w:rsidRPr="00646811" w:rsidRDefault="00646811" w:rsidP="00646811">
      <w:pPr>
        <w:widowControl w:val="0"/>
        <w:autoSpaceDE w:val="0"/>
        <w:autoSpaceDN w:val="0"/>
        <w:adjustRightInd w:val="0"/>
        <w:spacing w:line="276" w:lineRule="auto"/>
        <w:rPr>
          <w:lang w:val="en-GB"/>
        </w:rPr>
      </w:pPr>
      <w:r>
        <w:t xml:space="preserve">The LGA outlines that all land is rateable </w:t>
      </w:r>
      <w:r w:rsidRPr="00646811">
        <w:rPr>
          <w:lang w:val="en-GB"/>
        </w:rPr>
        <w:t>by councils except for specified property groups which are non-rateable. Those groups are:</w:t>
      </w:r>
    </w:p>
    <w:p w14:paraId="1E4D506F" w14:textId="77777777" w:rsidR="00646811" w:rsidRPr="00646811" w:rsidRDefault="00646811" w:rsidP="00646811">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rPr>
          <w:lang w:val="en-GB"/>
        </w:rPr>
      </w:pPr>
      <w:r w:rsidRPr="00646811">
        <w:rPr>
          <w:lang w:val="en-GB"/>
        </w:rPr>
        <w:t>land being the property of the crown, council or statutory authority that is used exclusively for public or municipal purposes or that is unoccupied</w:t>
      </w:r>
    </w:p>
    <w:p w14:paraId="17138473" w14:textId="594AA6C8" w:rsidR="00646811" w:rsidRPr="00646811" w:rsidRDefault="00646811" w:rsidP="00646811">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rPr>
          <w:lang w:val="en-GB"/>
        </w:rPr>
      </w:pPr>
      <w:r w:rsidRPr="00646811">
        <w:rPr>
          <w:lang w:val="en-GB"/>
        </w:rPr>
        <w:t xml:space="preserve">land held by </w:t>
      </w:r>
      <w:r w:rsidR="000E28E2">
        <w:rPr>
          <w:lang w:val="en-GB"/>
        </w:rPr>
        <w:t>religious</w:t>
      </w:r>
      <w:r w:rsidRPr="00646811">
        <w:rPr>
          <w:lang w:val="en-GB"/>
        </w:rPr>
        <w:t xml:space="preserve"> organisations and used for specific purposes</w:t>
      </w:r>
    </w:p>
    <w:p w14:paraId="62CCE640" w14:textId="77777777" w:rsidR="00646811" w:rsidRPr="00646811" w:rsidRDefault="00646811" w:rsidP="00646811">
      <w:pPr>
        <w:pStyle w:val="ListParagraph"/>
        <w:widowControl w:val="0"/>
        <w:numPr>
          <w:ilvl w:val="0"/>
          <w:numId w:val="8"/>
        </w:numPr>
        <w:tabs>
          <w:tab w:val="clear" w:pos="-3060"/>
          <w:tab w:val="clear" w:pos="-2340"/>
          <w:tab w:val="clear" w:pos="6300"/>
        </w:tabs>
        <w:suppressAutoHyphens w:val="0"/>
        <w:autoSpaceDE w:val="0"/>
        <w:autoSpaceDN w:val="0"/>
        <w:adjustRightInd w:val="0"/>
        <w:spacing w:after="0" w:line="276" w:lineRule="auto"/>
        <w:rPr>
          <w:lang w:val="en-GB"/>
        </w:rPr>
      </w:pPr>
      <w:r w:rsidRPr="00646811">
        <w:rPr>
          <w:lang w:val="en-GB"/>
        </w:rPr>
        <w:t>land held by charitable organisations and used for specific purposes</w:t>
      </w:r>
    </w:p>
    <w:p w14:paraId="69AA011C" w14:textId="77777777" w:rsidR="00646811" w:rsidRPr="00646811" w:rsidRDefault="00646811" w:rsidP="00646811">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ind w:left="714" w:hanging="357"/>
        <w:rPr>
          <w:lang w:val="en-GB"/>
        </w:rPr>
      </w:pPr>
      <w:r w:rsidRPr="00646811">
        <w:rPr>
          <w:lang w:val="en-GB"/>
        </w:rPr>
        <w:t>land held and used exclusively for RSL type purposes.</w:t>
      </w:r>
    </w:p>
    <w:p w14:paraId="3437FBFB" w14:textId="77777777" w:rsidR="00646811" w:rsidRPr="00646811" w:rsidRDefault="00646811" w:rsidP="00646811">
      <w:pPr>
        <w:widowControl w:val="0"/>
        <w:autoSpaceDE w:val="0"/>
        <w:autoSpaceDN w:val="0"/>
        <w:adjustRightInd w:val="0"/>
        <w:spacing w:line="276" w:lineRule="auto"/>
        <w:rPr>
          <w:lang w:val="en-GB"/>
        </w:rPr>
      </w:pPr>
      <w:r w:rsidRPr="00646811">
        <w:rPr>
          <w:lang w:val="en-GB"/>
        </w:rPr>
        <w:t>The proper classification and administration of non-rateable properties is significant to councils to ensure that the intent of the legislation is carried out and that the rating burden is spread equitably. Non-rateability applies to a property’s actual usage. Effective administration is needed to ensure that circumstances such as these are captured:</w:t>
      </w:r>
    </w:p>
    <w:p w14:paraId="62CAA486" w14:textId="77777777" w:rsidR="00646811" w:rsidRPr="00646811" w:rsidRDefault="00646811" w:rsidP="00646811">
      <w:pPr>
        <w:widowControl w:val="0"/>
        <w:numPr>
          <w:ilvl w:val="0"/>
          <w:numId w:val="18"/>
        </w:numPr>
        <w:tabs>
          <w:tab w:val="clear" w:pos="-3060"/>
          <w:tab w:val="clear" w:pos="-2340"/>
          <w:tab w:val="clear" w:pos="6300"/>
        </w:tabs>
        <w:suppressAutoHyphens w:val="0"/>
        <w:autoSpaceDE w:val="0"/>
        <w:autoSpaceDN w:val="0"/>
        <w:adjustRightInd w:val="0"/>
        <w:spacing w:after="0"/>
        <w:rPr>
          <w:lang w:val="en-GB"/>
        </w:rPr>
      </w:pPr>
      <w:r w:rsidRPr="00646811">
        <w:rPr>
          <w:lang w:val="en-GB"/>
        </w:rPr>
        <w:t>sometimes a non-rateable property sub-lets part of the property for a rateable activity (for example a shop) and this part of the property should be rated</w:t>
      </w:r>
    </w:p>
    <w:p w14:paraId="13168871" w14:textId="77777777" w:rsidR="00646811" w:rsidRPr="00646811" w:rsidRDefault="00646811" w:rsidP="00646811">
      <w:pPr>
        <w:widowControl w:val="0"/>
        <w:numPr>
          <w:ilvl w:val="0"/>
          <w:numId w:val="18"/>
        </w:numPr>
        <w:tabs>
          <w:tab w:val="clear" w:pos="-3060"/>
          <w:tab w:val="clear" w:pos="-2340"/>
          <w:tab w:val="clear" w:pos="6300"/>
        </w:tabs>
        <w:suppressAutoHyphens w:val="0"/>
        <w:autoSpaceDE w:val="0"/>
        <w:autoSpaceDN w:val="0"/>
        <w:adjustRightInd w:val="0"/>
        <w:ind w:left="714" w:hanging="357"/>
        <w:rPr>
          <w:lang w:val="en-GB"/>
        </w:rPr>
      </w:pPr>
      <w:r w:rsidRPr="00646811">
        <w:rPr>
          <w:lang w:val="en-GB"/>
        </w:rPr>
        <w:t>a property’s actual use can change over time even though the ownership remains, for example, in the hands of a charitable organisation.</w:t>
      </w:r>
    </w:p>
    <w:p w14:paraId="72D2E5A9" w14:textId="77777777" w:rsidR="00646811" w:rsidRPr="00646811" w:rsidRDefault="00646811" w:rsidP="00646811">
      <w:pPr>
        <w:widowControl w:val="0"/>
        <w:autoSpaceDE w:val="0"/>
        <w:autoSpaceDN w:val="0"/>
        <w:adjustRightInd w:val="0"/>
        <w:spacing w:line="276" w:lineRule="auto"/>
        <w:rPr>
          <w:lang w:val="en-GB"/>
        </w:rPr>
      </w:pPr>
      <w:r w:rsidRPr="00646811">
        <w:rPr>
          <w:lang w:val="en-GB"/>
        </w:rPr>
        <w:t xml:space="preserve">While non-rateable properties are non-rateable in terms of general rates, the LGA makes specific provision for Councils to impose service charges for waste collection, street construction and special rates and charges. </w:t>
      </w:r>
    </w:p>
    <w:p w14:paraId="78C06F9D" w14:textId="77777777" w:rsidR="0063619C" w:rsidRDefault="00646811" w:rsidP="00646811">
      <w:pPr>
        <w:rPr>
          <w:lang w:val="en-GB"/>
        </w:rPr>
      </w:pPr>
      <w:r w:rsidRPr="00646811">
        <w:rPr>
          <w:lang w:val="en-GB"/>
        </w:rPr>
        <w:t>There are currently approximately 500 non-rateable properties within the municipality, with the City of Port Phillip being the owner or the Committee of Management for approximately half of these.</w:t>
      </w:r>
    </w:p>
    <w:tbl>
      <w:tblPr>
        <w:tblStyle w:val="TableGrid"/>
        <w:tblW w:w="0" w:type="auto"/>
        <w:shd w:val="clear" w:color="auto" w:fill="0090A3"/>
        <w:tblLook w:val="04A0" w:firstRow="1" w:lastRow="0" w:firstColumn="1" w:lastColumn="0" w:noHBand="0" w:noVBand="1"/>
      </w:tblPr>
      <w:tblGrid>
        <w:gridCol w:w="9628"/>
      </w:tblGrid>
      <w:tr w:rsidR="0063619C" w:rsidRPr="001330CB" w14:paraId="39C4DB5C" w14:textId="77777777" w:rsidTr="0063619C">
        <w:tc>
          <w:tcPr>
            <w:tcW w:w="10109" w:type="dxa"/>
            <w:shd w:val="clear" w:color="auto" w:fill="0090A3"/>
          </w:tcPr>
          <w:p w14:paraId="44974414" w14:textId="232CA7AE" w:rsidR="0063619C" w:rsidRPr="00E86701" w:rsidRDefault="0063619C" w:rsidP="0063619C">
            <w:pPr>
              <w:widowControl w:val="0"/>
              <w:autoSpaceDE w:val="0"/>
              <w:autoSpaceDN w:val="0"/>
              <w:adjustRightInd w:val="0"/>
              <w:spacing w:line="276" w:lineRule="auto"/>
              <w:jc w:val="both"/>
              <w:rPr>
                <w:b/>
                <w:color w:val="FFFFFF" w:themeColor="background1"/>
                <w:sz w:val="24"/>
                <w:szCs w:val="24"/>
                <w:lang w:val="en-GB"/>
              </w:rPr>
            </w:pPr>
            <w:r w:rsidRPr="00E86701">
              <w:rPr>
                <w:b/>
                <w:color w:val="FFFFFF" w:themeColor="background1"/>
                <w:sz w:val="24"/>
                <w:szCs w:val="24"/>
                <w:lang w:val="en-GB"/>
              </w:rPr>
              <w:t xml:space="preserve">Rating Principle </w:t>
            </w:r>
            <w:r w:rsidR="00201E2C">
              <w:rPr>
                <w:b/>
                <w:color w:val="FFFFFF" w:themeColor="background1"/>
                <w:sz w:val="24"/>
                <w:szCs w:val="24"/>
                <w:lang w:val="en-GB"/>
              </w:rPr>
              <w:t>1</w:t>
            </w:r>
            <w:r w:rsidR="00AE16D7">
              <w:rPr>
                <w:b/>
                <w:color w:val="FFFFFF" w:themeColor="background1"/>
                <w:sz w:val="24"/>
                <w:szCs w:val="24"/>
                <w:lang w:val="en-GB"/>
              </w:rPr>
              <w:t>1</w:t>
            </w:r>
          </w:p>
          <w:p w14:paraId="239582BA" w14:textId="6ED7F605" w:rsidR="0063619C" w:rsidRPr="001330CB" w:rsidRDefault="0063619C" w:rsidP="0063619C">
            <w:pPr>
              <w:widowControl w:val="0"/>
              <w:autoSpaceDE w:val="0"/>
              <w:autoSpaceDN w:val="0"/>
              <w:adjustRightInd w:val="0"/>
              <w:spacing w:line="276" w:lineRule="auto"/>
              <w:jc w:val="both"/>
              <w:rPr>
                <w:color w:val="FFFFFF" w:themeColor="background1"/>
                <w:sz w:val="24"/>
                <w:highlight w:val="red"/>
                <w:lang w:val="en-GB"/>
              </w:rPr>
            </w:pPr>
            <w:r>
              <w:rPr>
                <w:color w:val="FFFFFF" w:themeColor="background1"/>
                <w:sz w:val="24"/>
                <w:szCs w:val="24"/>
                <w:lang w:val="en-GB"/>
              </w:rPr>
              <w:t xml:space="preserve">Non-rateable properties will be required to contribute to services provided by the City of Port Phillip through the payment of </w:t>
            </w:r>
            <w:r w:rsidR="002C35FC">
              <w:rPr>
                <w:color w:val="FFFFFF" w:themeColor="background1"/>
                <w:sz w:val="24"/>
                <w:szCs w:val="24"/>
                <w:lang w:val="en-GB"/>
              </w:rPr>
              <w:t xml:space="preserve">full waste </w:t>
            </w:r>
            <w:r>
              <w:rPr>
                <w:color w:val="FFFFFF" w:themeColor="background1"/>
                <w:sz w:val="24"/>
                <w:szCs w:val="24"/>
                <w:lang w:val="en-GB"/>
              </w:rPr>
              <w:t>service charges</w:t>
            </w:r>
            <w:r w:rsidR="002C35FC">
              <w:rPr>
                <w:color w:val="FFFFFF" w:themeColor="background1"/>
                <w:sz w:val="24"/>
                <w:szCs w:val="24"/>
                <w:lang w:val="en-GB"/>
              </w:rPr>
              <w:t xml:space="preserve"> at full cost.</w:t>
            </w:r>
            <w:r w:rsidRPr="001330CB">
              <w:rPr>
                <w:color w:val="FFFFFF" w:themeColor="background1"/>
                <w:sz w:val="24"/>
                <w:highlight w:val="red"/>
                <w:lang w:val="en-GB"/>
              </w:rPr>
              <w:t xml:space="preserve"> </w:t>
            </w:r>
          </w:p>
        </w:tc>
      </w:tr>
    </w:tbl>
    <w:p w14:paraId="02CBEFDC" w14:textId="35DAF70B" w:rsidR="001330CB" w:rsidRPr="00646811" w:rsidRDefault="001330CB" w:rsidP="00646811">
      <w:pPr>
        <w:rPr>
          <w:lang w:val="en-GB"/>
        </w:rPr>
      </w:pPr>
    </w:p>
    <w:p w14:paraId="495025A2" w14:textId="61748354" w:rsidR="0063619C" w:rsidRDefault="0063619C" w:rsidP="00F16081">
      <w:pPr>
        <w:pStyle w:val="Heading2"/>
      </w:pPr>
      <w:bookmarkStart w:id="107" w:name="_Toc101366869"/>
      <w:r>
        <w:t>Cultural and Recreational Properties</w:t>
      </w:r>
      <w:bookmarkEnd w:id="107"/>
    </w:p>
    <w:p w14:paraId="2EAF05AD" w14:textId="77777777" w:rsidR="0063619C" w:rsidRPr="0063619C" w:rsidRDefault="0063619C" w:rsidP="003B14D3">
      <w:pPr>
        <w:widowControl w:val="0"/>
        <w:autoSpaceDE w:val="0"/>
        <w:autoSpaceDN w:val="0"/>
        <w:adjustRightInd w:val="0"/>
        <w:spacing w:line="276" w:lineRule="auto"/>
        <w:rPr>
          <w:lang w:val="en-GB"/>
        </w:rPr>
      </w:pPr>
      <w:r w:rsidRPr="0063619C">
        <w:rPr>
          <w:lang w:val="en-GB"/>
        </w:rPr>
        <w:t xml:space="preserve">The provisions of the </w:t>
      </w:r>
      <w:r w:rsidRPr="0063619C">
        <w:rPr>
          <w:i/>
          <w:lang w:val="en-GB"/>
        </w:rPr>
        <w:t>Cultural and Recreational Lands Act 1963</w:t>
      </w:r>
      <w:r w:rsidRPr="0063619C">
        <w:rPr>
          <w:lang w:val="en-GB"/>
        </w:rPr>
        <w:t xml:space="preserve"> modify the way in which the users of ‘recreational lands’ are rated. The Cultural and Recreational Lands Act 1963 has two principal criteria:</w:t>
      </w:r>
    </w:p>
    <w:p w14:paraId="0B7981A9" w14:textId="77777777" w:rsidR="0063619C" w:rsidRPr="0063619C" w:rsidRDefault="0063619C" w:rsidP="003B14D3">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rPr>
          <w:lang w:val="en-GB"/>
        </w:rPr>
      </w:pPr>
      <w:r w:rsidRPr="0063619C">
        <w:rPr>
          <w:lang w:val="en-GB"/>
        </w:rPr>
        <w:t xml:space="preserve">the land must be owned by the body providing the service or must be on land rented from the Government or Council (that is, it does not apply to land rented from private landowners) </w:t>
      </w:r>
    </w:p>
    <w:p w14:paraId="4F6FF2A1" w14:textId="77777777" w:rsidR="0063619C" w:rsidRPr="0063619C" w:rsidRDefault="0063619C" w:rsidP="003B14D3">
      <w:pPr>
        <w:pStyle w:val="ListParagraph"/>
        <w:widowControl w:val="0"/>
        <w:numPr>
          <w:ilvl w:val="0"/>
          <w:numId w:val="8"/>
        </w:numPr>
        <w:tabs>
          <w:tab w:val="clear" w:pos="-3060"/>
          <w:tab w:val="clear" w:pos="-2340"/>
          <w:tab w:val="clear" w:pos="6300"/>
        </w:tabs>
        <w:suppressAutoHyphens w:val="0"/>
        <w:autoSpaceDE w:val="0"/>
        <w:autoSpaceDN w:val="0"/>
        <w:adjustRightInd w:val="0"/>
        <w:spacing w:line="276" w:lineRule="auto"/>
        <w:rPr>
          <w:lang w:val="en-GB"/>
        </w:rPr>
      </w:pPr>
      <w:r w:rsidRPr="0063619C">
        <w:rPr>
          <w:lang w:val="en-GB"/>
        </w:rPr>
        <w:t>it must be for an outdoor recreational or cultural activity.</w:t>
      </w:r>
    </w:p>
    <w:p w14:paraId="0A7A966E" w14:textId="5CB5F5E4" w:rsidR="0063619C" w:rsidRPr="0063619C" w:rsidRDefault="0063619C" w:rsidP="003B14D3">
      <w:pPr>
        <w:widowControl w:val="0"/>
        <w:autoSpaceDE w:val="0"/>
        <w:autoSpaceDN w:val="0"/>
        <w:adjustRightInd w:val="0"/>
        <w:spacing w:line="276" w:lineRule="auto"/>
        <w:rPr>
          <w:lang w:val="en-GB"/>
        </w:rPr>
      </w:pPr>
      <w:r w:rsidRPr="0063619C">
        <w:rPr>
          <w:lang w:val="en-GB"/>
        </w:rPr>
        <w:t>There are currently 2</w:t>
      </w:r>
      <w:r w:rsidR="00C3579C">
        <w:rPr>
          <w:lang w:val="en-GB"/>
        </w:rPr>
        <w:t>7</w:t>
      </w:r>
      <w:r w:rsidRPr="0063619C">
        <w:rPr>
          <w:lang w:val="en-GB"/>
        </w:rPr>
        <w:t xml:space="preserve"> </w:t>
      </w:r>
      <w:r w:rsidR="00482593">
        <w:rPr>
          <w:lang w:val="en-GB"/>
        </w:rPr>
        <w:t xml:space="preserve">cultural or </w:t>
      </w:r>
      <w:r w:rsidRPr="0063619C">
        <w:rPr>
          <w:lang w:val="en-GB"/>
        </w:rPr>
        <w:t xml:space="preserve">recreational properties in the City of Port Phillip that are rated under the Cultural and Recreational Land Act 1963. </w:t>
      </w:r>
    </w:p>
    <w:p w14:paraId="6C81CC72" w14:textId="77777777" w:rsidR="0063619C" w:rsidRPr="0063619C" w:rsidRDefault="0063619C" w:rsidP="003B14D3">
      <w:pPr>
        <w:widowControl w:val="0"/>
        <w:autoSpaceDE w:val="0"/>
        <w:autoSpaceDN w:val="0"/>
        <w:adjustRightInd w:val="0"/>
        <w:spacing w:line="276" w:lineRule="auto"/>
        <w:rPr>
          <w:lang w:val="en-GB"/>
        </w:rPr>
      </w:pPr>
      <w:r w:rsidRPr="0063619C">
        <w:rPr>
          <w:lang w:val="en-GB"/>
        </w:rPr>
        <w:t>The Cultural and Recreational Land Act 1963 enables councils to levy as rates on recreational lands an amount that it thinks reasonable taking into account the services provided on land and the benefits the community derives from it. Facilities where profits are paid as a dividend to members are specifically excluded from any discount.</w:t>
      </w:r>
    </w:p>
    <w:p w14:paraId="7289AA0F" w14:textId="545DA6D7" w:rsidR="005C16E5" w:rsidRDefault="00A94E2C" w:rsidP="003B14D3">
      <w:pPr>
        <w:widowControl w:val="0"/>
        <w:autoSpaceDE w:val="0"/>
        <w:autoSpaceDN w:val="0"/>
        <w:adjustRightInd w:val="0"/>
        <w:spacing w:line="276" w:lineRule="auto"/>
        <w:rPr>
          <w:lang w:val="en-GB"/>
        </w:rPr>
      </w:pPr>
      <w:r>
        <w:rPr>
          <w:lang w:val="en-GB"/>
        </w:rPr>
        <w:t>C</w:t>
      </w:r>
      <w:r w:rsidR="003B14D3">
        <w:rPr>
          <w:lang w:val="en-GB"/>
        </w:rPr>
        <w:t xml:space="preserve">urrent </w:t>
      </w:r>
      <w:r>
        <w:rPr>
          <w:lang w:val="en-GB"/>
        </w:rPr>
        <w:t>practice across the Victorian local government sector</w:t>
      </w:r>
      <w:r w:rsidR="003B14D3">
        <w:rPr>
          <w:lang w:val="en-GB"/>
        </w:rPr>
        <w:t xml:space="preserve"> is to apply a percentage discount from the general rate to reflect the community benefit the land creates. </w:t>
      </w:r>
      <w:r w:rsidR="005C16E5">
        <w:rPr>
          <w:lang w:val="en-GB"/>
        </w:rPr>
        <w:t>One major issue with this approach is its lack of transparency and inconsistency with the broader funding principles.</w:t>
      </w:r>
    </w:p>
    <w:p w14:paraId="09630E71" w14:textId="43AF81A5" w:rsidR="005C16E5" w:rsidRDefault="005C16E5" w:rsidP="003B14D3">
      <w:pPr>
        <w:widowControl w:val="0"/>
        <w:autoSpaceDE w:val="0"/>
        <w:autoSpaceDN w:val="0"/>
        <w:adjustRightInd w:val="0"/>
        <w:spacing w:line="276" w:lineRule="auto"/>
        <w:rPr>
          <w:lang w:val="en-GB"/>
        </w:rPr>
      </w:pPr>
      <w:r>
        <w:rPr>
          <w:lang w:val="en-GB"/>
        </w:rPr>
        <w:t xml:space="preserve">Most councils provide community </w:t>
      </w:r>
      <w:r w:rsidR="00C30FD0">
        <w:rPr>
          <w:lang w:val="en-GB"/>
        </w:rPr>
        <w:t xml:space="preserve">funding </w:t>
      </w:r>
      <w:r>
        <w:rPr>
          <w:lang w:val="en-GB"/>
        </w:rPr>
        <w:t xml:space="preserve">to local community groups based on </w:t>
      </w:r>
      <w:r w:rsidR="00B55765">
        <w:rPr>
          <w:lang w:val="en-GB"/>
        </w:rPr>
        <w:t xml:space="preserve">a </w:t>
      </w:r>
      <w:r w:rsidR="00C30FD0">
        <w:rPr>
          <w:lang w:val="en-GB"/>
        </w:rPr>
        <w:t>Community Funding</w:t>
      </w:r>
      <w:r>
        <w:rPr>
          <w:lang w:val="en-GB"/>
        </w:rPr>
        <w:t xml:space="preserve"> Policy which sets out the funding principles, criteria and performance metrics. This approach enable</w:t>
      </w:r>
      <w:r w:rsidR="0011671E">
        <w:rPr>
          <w:lang w:val="en-GB"/>
        </w:rPr>
        <w:t>s</w:t>
      </w:r>
      <w:r w:rsidR="00B55765">
        <w:rPr>
          <w:lang w:val="en-GB"/>
        </w:rPr>
        <w:t xml:space="preserve"> </w:t>
      </w:r>
      <w:r w:rsidR="0011671E">
        <w:rPr>
          <w:lang w:val="en-GB"/>
        </w:rPr>
        <w:t xml:space="preserve">the </w:t>
      </w:r>
      <w:r w:rsidR="00B55765">
        <w:rPr>
          <w:lang w:val="en-GB"/>
        </w:rPr>
        <w:t>comparison</w:t>
      </w:r>
      <w:r w:rsidR="0011671E">
        <w:rPr>
          <w:lang w:val="en-GB"/>
        </w:rPr>
        <w:t xml:space="preserve"> of community benefits from</w:t>
      </w:r>
      <w:r w:rsidR="00B55765">
        <w:rPr>
          <w:lang w:val="en-GB"/>
        </w:rPr>
        <w:t xml:space="preserve"> all applications</w:t>
      </w:r>
      <w:r w:rsidR="0011671E">
        <w:rPr>
          <w:lang w:val="en-GB"/>
        </w:rPr>
        <w:t xml:space="preserve"> for funding allocation decisions.  This is a </w:t>
      </w:r>
      <w:r w:rsidR="00B55765">
        <w:rPr>
          <w:lang w:val="en-GB"/>
        </w:rPr>
        <w:t xml:space="preserve">more </w:t>
      </w:r>
      <w:r>
        <w:rPr>
          <w:lang w:val="en-GB"/>
        </w:rPr>
        <w:t>optimal funding</w:t>
      </w:r>
      <w:r w:rsidR="0011671E">
        <w:rPr>
          <w:lang w:val="en-GB"/>
        </w:rPr>
        <w:t xml:space="preserve"> allocation methodology that aligns with Council’s strategic directions and policies.</w:t>
      </w:r>
    </w:p>
    <w:p w14:paraId="32F77BBC" w14:textId="5F0352A4" w:rsidR="0063619C" w:rsidRPr="0063619C" w:rsidRDefault="00B55765" w:rsidP="0063619C">
      <w:pPr>
        <w:widowControl w:val="0"/>
        <w:autoSpaceDE w:val="0"/>
        <w:autoSpaceDN w:val="0"/>
        <w:adjustRightInd w:val="0"/>
        <w:spacing w:line="276" w:lineRule="auto"/>
        <w:rPr>
          <w:lang w:val="en-GB"/>
        </w:rPr>
      </w:pPr>
      <w:r>
        <w:rPr>
          <w:lang w:val="en-GB"/>
        </w:rPr>
        <w:t>Council</w:t>
      </w:r>
      <w:r w:rsidR="00506DF0">
        <w:rPr>
          <w:lang w:val="en-GB"/>
        </w:rPr>
        <w:t xml:space="preserve"> will</w:t>
      </w:r>
      <w:r>
        <w:rPr>
          <w:lang w:val="en-GB"/>
        </w:rPr>
        <w:t xml:space="preserve"> sunset our current approach </w:t>
      </w:r>
      <w:r w:rsidR="00506DF0">
        <w:rPr>
          <w:lang w:val="en-GB"/>
        </w:rPr>
        <w:t xml:space="preserve">of </w:t>
      </w:r>
      <w:r>
        <w:rPr>
          <w:lang w:val="en-GB"/>
        </w:rPr>
        <w:t>appl</w:t>
      </w:r>
      <w:r w:rsidR="00021528">
        <w:rPr>
          <w:lang w:val="en-GB"/>
        </w:rPr>
        <w:t>ying</w:t>
      </w:r>
      <w:r>
        <w:rPr>
          <w:lang w:val="en-GB"/>
        </w:rPr>
        <w:t xml:space="preserve"> </w:t>
      </w:r>
      <w:r w:rsidR="00021528">
        <w:rPr>
          <w:lang w:val="en-GB"/>
        </w:rPr>
        <w:t>concesssional</w:t>
      </w:r>
      <w:r>
        <w:rPr>
          <w:lang w:val="en-GB"/>
        </w:rPr>
        <w:t xml:space="preserve"> rates discount on general rates and transition to the Community </w:t>
      </w:r>
      <w:r w:rsidR="002810FA">
        <w:rPr>
          <w:lang w:val="en-GB"/>
        </w:rPr>
        <w:t xml:space="preserve">Subsidies Program within our Community </w:t>
      </w:r>
      <w:r w:rsidR="00C30FD0">
        <w:rPr>
          <w:lang w:val="en-GB"/>
        </w:rPr>
        <w:t>Funding</w:t>
      </w:r>
      <w:r>
        <w:rPr>
          <w:lang w:val="en-GB"/>
        </w:rPr>
        <w:t xml:space="preserve"> </w:t>
      </w:r>
      <w:r w:rsidR="002810FA">
        <w:rPr>
          <w:lang w:val="en-GB"/>
        </w:rPr>
        <w:t>Policy.</w:t>
      </w:r>
      <w:r>
        <w:rPr>
          <w:lang w:val="en-GB"/>
        </w:rPr>
        <w:t xml:space="preserve">  </w:t>
      </w:r>
      <w:r w:rsidR="00021528">
        <w:rPr>
          <w:lang w:val="en-GB"/>
        </w:rPr>
        <w:t>T</w:t>
      </w:r>
      <w:r>
        <w:rPr>
          <w:lang w:val="en-GB"/>
        </w:rPr>
        <w:t xml:space="preserve">his will achieve a better, more transparent and consistent outcome </w:t>
      </w:r>
      <w:r w:rsidR="00021528">
        <w:rPr>
          <w:lang w:val="en-GB"/>
        </w:rPr>
        <w:t>that aligns with Council’s strategic directions</w:t>
      </w:r>
      <w:r w:rsidR="00CC2D4D">
        <w:rPr>
          <w:lang w:val="en-GB"/>
        </w:rPr>
        <w:t xml:space="preserve"> and policies</w:t>
      </w:r>
      <w:r>
        <w:rPr>
          <w:lang w:val="en-GB"/>
        </w:rPr>
        <w:t>.</w:t>
      </w:r>
    </w:p>
    <w:tbl>
      <w:tblPr>
        <w:tblStyle w:val="TableGrid"/>
        <w:tblW w:w="0" w:type="auto"/>
        <w:shd w:val="clear" w:color="auto" w:fill="0090A3"/>
        <w:tblLook w:val="04A0" w:firstRow="1" w:lastRow="0" w:firstColumn="1" w:lastColumn="0" w:noHBand="0" w:noVBand="1"/>
      </w:tblPr>
      <w:tblGrid>
        <w:gridCol w:w="9628"/>
      </w:tblGrid>
      <w:tr w:rsidR="00F5316F" w:rsidRPr="001330CB" w14:paraId="48F01214" w14:textId="77777777" w:rsidTr="00F4162A">
        <w:tc>
          <w:tcPr>
            <w:tcW w:w="10109" w:type="dxa"/>
            <w:shd w:val="clear" w:color="auto" w:fill="0090A3"/>
          </w:tcPr>
          <w:p w14:paraId="1943370A" w14:textId="29F634CA" w:rsidR="00F5316F" w:rsidRPr="00E86701" w:rsidRDefault="00F5316F" w:rsidP="00F4162A">
            <w:pPr>
              <w:widowControl w:val="0"/>
              <w:autoSpaceDE w:val="0"/>
              <w:autoSpaceDN w:val="0"/>
              <w:adjustRightInd w:val="0"/>
              <w:spacing w:line="276" w:lineRule="auto"/>
              <w:jc w:val="both"/>
              <w:rPr>
                <w:color w:val="FFFFFF" w:themeColor="background1"/>
                <w:sz w:val="24"/>
                <w:szCs w:val="24"/>
                <w:highlight w:val="red"/>
                <w:lang w:val="en-GB"/>
              </w:rPr>
            </w:pPr>
            <w:r w:rsidRPr="00E86701">
              <w:rPr>
                <w:b/>
                <w:color w:val="FFFFFF" w:themeColor="background1"/>
                <w:sz w:val="24"/>
                <w:szCs w:val="24"/>
                <w:lang w:val="en-GB"/>
              </w:rPr>
              <w:t xml:space="preserve">Rating Principle </w:t>
            </w:r>
            <w:r w:rsidR="00DE0AB9">
              <w:rPr>
                <w:b/>
                <w:color w:val="FFFFFF" w:themeColor="background1"/>
                <w:sz w:val="24"/>
                <w:szCs w:val="24"/>
                <w:lang w:val="en-GB"/>
              </w:rPr>
              <w:t>1</w:t>
            </w:r>
            <w:r w:rsidR="00DF1DCC">
              <w:rPr>
                <w:b/>
                <w:color w:val="FFFFFF" w:themeColor="background1"/>
                <w:sz w:val="24"/>
                <w:szCs w:val="24"/>
                <w:lang w:val="en-GB"/>
              </w:rPr>
              <w:t>2</w:t>
            </w:r>
          </w:p>
          <w:p w14:paraId="09DEF1D4" w14:textId="17ED06D5" w:rsidR="004420DD" w:rsidRPr="001330CB" w:rsidRDefault="00F5316F" w:rsidP="004420DD">
            <w:pPr>
              <w:widowControl w:val="0"/>
              <w:autoSpaceDE w:val="0"/>
              <w:autoSpaceDN w:val="0"/>
              <w:adjustRightInd w:val="0"/>
              <w:spacing w:line="276" w:lineRule="auto"/>
              <w:jc w:val="both"/>
              <w:rPr>
                <w:color w:val="FFFFFF" w:themeColor="background1"/>
                <w:sz w:val="24"/>
                <w:highlight w:val="red"/>
                <w:lang w:val="en-GB"/>
              </w:rPr>
            </w:pPr>
            <w:r>
              <w:rPr>
                <w:color w:val="FFFFFF" w:themeColor="background1"/>
                <w:sz w:val="24"/>
                <w:szCs w:val="24"/>
                <w:lang w:val="en-GB"/>
              </w:rPr>
              <w:t xml:space="preserve">Properties provided for under the Cultural and Recreational Lands Act 1963 will be </w:t>
            </w:r>
            <w:r w:rsidR="00C30FD0">
              <w:rPr>
                <w:color w:val="FFFFFF" w:themeColor="background1"/>
                <w:sz w:val="24"/>
                <w:szCs w:val="24"/>
                <w:lang w:val="en-GB"/>
              </w:rPr>
              <w:t>considered</w:t>
            </w:r>
            <w:r w:rsidR="00021528">
              <w:rPr>
                <w:color w:val="FFFFFF" w:themeColor="background1"/>
                <w:sz w:val="24"/>
                <w:szCs w:val="24"/>
                <w:lang w:val="en-GB"/>
              </w:rPr>
              <w:t xml:space="preserve"> sup</w:t>
            </w:r>
            <w:r w:rsidR="00CF1FD2">
              <w:rPr>
                <w:color w:val="FFFFFF" w:themeColor="background1"/>
                <w:sz w:val="24"/>
                <w:szCs w:val="24"/>
                <w:lang w:val="en-GB"/>
              </w:rPr>
              <w:t xml:space="preserve">port in accordance with </w:t>
            </w:r>
            <w:r w:rsidR="00FE6C69">
              <w:rPr>
                <w:color w:val="FFFFFF" w:themeColor="background1"/>
                <w:sz w:val="24"/>
                <w:szCs w:val="24"/>
                <w:lang w:val="en-GB"/>
              </w:rPr>
              <w:t xml:space="preserve">Council’s </w:t>
            </w:r>
            <w:r w:rsidR="00021528">
              <w:rPr>
                <w:color w:val="FFFFFF" w:themeColor="background1"/>
                <w:sz w:val="24"/>
                <w:szCs w:val="24"/>
                <w:lang w:val="en-GB"/>
              </w:rPr>
              <w:t>C</w:t>
            </w:r>
            <w:r>
              <w:rPr>
                <w:color w:val="FFFFFF" w:themeColor="background1"/>
                <w:sz w:val="24"/>
                <w:szCs w:val="24"/>
                <w:lang w:val="en-GB"/>
              </w:rPr>
              <w:t>ommunit</w:t>
            </w:r>
            <w:r w:rsidR="00FE6C69">
              <w:rPr>
                <w:color w:val="FFFFFF" w:themeColor="background1"/>
                <w:sz w:val="24"/>
                <w:szCs w:val="24"/>
                <w:lang w:val="en-GB"/>
              </w:rPr>
              <w:t>y</w:t>
            </w:r>
            <w:r>
              <w:rPr>
                <w:color w:val="FFFFFF" w:themeColor="background1"/>
                <w:sz w:val="24"/>
                <w:szCs w:val="24"/>
                <w:lang w:val="en-GB"/>
              </w:rPr>
              <w:t xml:space="preserve"> </w:t>
            </w:r>
            <w:r w:rsidR="001723C2">
              <w:rPr>
                <w:color w:val="FFFFFF" w:themeColor="background1"/>
                <w:sz w:val="24"/>
                <w:szCs w:val="24"/>
                <w:lang w:val="en-GB"/>
              </w:rPr>
              <w:t>Subsidies Program</w:t>
            </w:r>
            <w:r w:rsidR="00021528">
              <w:rPr>
                <w:color w:val="FFFFFF" w:themeColor="background1"/>
                <w:sz w:val="24"/>
                <w:szCs w:val="24"/>
                <w:lang w:val="en-GB"/>
              </w:rPr>
              <w:t>.  This will achieve a better, more transparent and consisten</w:t>
            </w:r>
            <w:r w:rsidR="0011671E">
              <w:rPr>
                <w:color w:val="FFFFFF" w:themeColor="background1"/>
                <w:sz w:val="24"/>
                <w:szCs w:val="24"/>
                <w:lang w:val="en-GB"/>
              </w:rPr>
              <w:t>t</w:t>
            </w:r>
            <w:r w:rsidR="00021528">
              <w:rPr>
                <w:color w:val="FFFFFF" w:themeColor="background1"/>
                <w:sz w:val="24"/>
                <w:szCs w:val="24"/>
                <w:lang w:val="en-GB"/>
              </w:rPr>
              <w:t xml:space="preserve"> outcome that aligns with Council’s strategic directions</w:t>
            </w:r>
            <w:r w:rsidR="00FE6C69">
              <w:rPr>
                <w:color w:val="FFFFFF" w:themeColor="background1"/>
                <w:sz w:val="24"/>
                <w:szCs w:val="24"/>
                <w:lang w:val="en-GB"/>
              </w:rPr>
              <w:t xml:space="preserve"> and policies</w:t>
            </w:r>
            <w:r w:rsidR="00021528">
              <w:rPr>
                <w:color w:val="FFFFFF" w:themeColor="background1"/>
                <w:sz w:val="24"/>
                <w:szCs w:val="24"/>
                <w:lang w:val="en-GB"/>
              </w:rPr>
              <w:t>.</w:t>
            </w:r>
          </w:p>
        </w:tc>
      </w:tr>
    </w:tbl>
    <w:p w14:paraId="1951483C" w14:textId="77777777" w:rsidR="00F5316F" w:rsidRDefault="00F5316F" w:rsidP="0063619C"/>
    <w:p w14:paraId="5F807FF5" w14:textId="77777777" w:rsidR="00F5316F" w:rsidRDefault="00F5316F" w:rsidP="0063619C"/>
    <w:p w14:paraId="7999B2AD" w14:textId="77777777" w:rsidR="00F5316F" w:rsidRDefault="00F5316F">
      <w:pPr>
        <w:tabs>
          <w:tab w:val="clear" w:pos="-3060"/>
          <w:tab w:val="clear" w:pos="-2340"/>
          <w:tab w:val="clear" w:pos="6300"/>
        </w:tabs>
        <w:suppressAutoHyphens w:val="0"/>
        <w:spacing w:after="160" w:line="259" w:lineRule="auto"/>
      </w:pPr>
      <w:r>
        <w:br w:type="page"/>
      </w:r>
    </w:p>
    <w:p w14:paraId="29D0F42F" w14:textId="5C1C4B2F" w:rsidR="00F5316F" w:rsidRDefault="004328B3" w:rsidP="00F16081">
      <w:pPr>
        <w:pStyle w:val="Heading1"/>
      </w:pPr>
      <w:bookmarkStart w:id="108" w:name="_Toc101366870"/>
      <w:r>
        <w:t>Review of</w:t>
      </w:r>
      <w:r w:rsidR="00F5316F">
        <w:t xml:space="preserve"> rating strategy</w:t>
      </w:r>
      <w:bookmarkEnd w:id="108"/>
    </w:p>
    <w:p w14:paraId="41B6D6A3" w14:textId="77777777" w:rsidR="00F5316F" w:rsidRPr="00F5316F" w:rsidRDefault="00F5316F" w:rsidP="00F5316F">
      <w:pPr>
        <w:widowControl w:val="0"/>
        <w:autoSpaceDE w:val="0"/>
        <w:autoSpaceDN w:val="0"/>
        <w:adjustRightInd w:val="0"/>
        <w:spacing w:line="276" w:lineRule="auto"/>
        <w:jc w:val="both"/>
        <w:rPr>
          <w:lang w:val="en-GB"/>
        </w:rPr>
      </w:pPr>
      <w:r w:rsidRPr="00F5316F">
        <w:rPr>
          <w:lang w:val="en-GB"/>
        </w:rPr>
        <w:t xml:space="preserve">The City of Port Phillip actively seeks to retain and enhance the diversity within the municipality. This diversity encompasses socio-economic advantage as well as other characteristic such as home ownership, ethnicity, age and family status (among others). </w:t>
      </w:r>
    </w:p>
    <w:p w14:paraId="3CF50FAD" w14:textId="68E697CF" w:rsidR="00F5316F" w:rsidRDefault="00F5316F" w:rsidP="00F5316F">
      <w:pPr>
        <w:widowControl w:val="0"/>
        <w:autoSpaceDE w:val="0"/>
        <w:autoSpaceDN w:val="0"/>
        <w:adjustRightInd w:val="0"/>
        <w:spacing w:line="276" w:lineRule="auto"/>
        <w:jc w:val="both"/>
        <w:rPr>
          <w:lang w:val="en-GB"/>
        </w:rPr>
      </w:pPr>
      <w:r w:rsidRPr="00F5316F">
        <w:rPr>
          <w:lang w:val="en-GB"/>
        </w:rPr>
        <w:t>The Rating Strategy has been developed to support the conditions that allow our communities to experience and enjoy diversity of values, beliefs and aspirations and which provide the financial basis to that our residents have access to effective and appropriate services and resources.</w:t>
      </w:r>
    </w:p>
    <w:p w14:paraId="4F83DFC7" w14:textId="73D20F79" w:rsidR="00F5316F" w:rsidRDefault="00F5316F" w:rsidP="008B25A7">
      <w:pPr>
        <w:tabs>
          <w:tab w:val="clear" w:pos="-3060"/>
          <w:tab w:val="clear" w:pos="-2340"/>
          <w:tab w:val="clear" w:pos="6300"/>
        </w:tabs>
        <w:suppressAutoHyphens w:val="0"/>
        <w:spacing w:after="160" w:line="259" w:lineRule="auto"/>
        <w:rPr>
          <w:lang w:val="en-GB"/>
        </w:rPr>
      </w:pPr>
      <w:r w:rsidRPr="00F5316F">
        <w:rPr>
          <w:lang w:val="en-GB"/>
        </w:rPr>
        <w:t xml:space="preserve">The City of Port Phillip is committed to communicating to ratepayers the way in which rates are set and implemented, </w:t>
      </w:r>
      <w:r w:rsidR="00666969">
        <w:rPr>
          <w:lang w:val="en-GB"/>
        </w:rPr>
        <w:t xml:space="preserve">the impacts </w:t>
      </w:r>
      <w:r w:rsidR="00666969" w:rsidRPr="009261BE">
        <w:rPr>
          <w:lang w:val="en-GB"/>
        </w:rPr>
        <w:t>of this ra</w:t>
      </w:r>
      <w:r w:rsidRPr="009261BE">
        <w:rPr>
          <w:lang w:val="en-GB"/>
        </w:rPr>
        <w:t>t</w:t>
      </w:r>
      <w:r w:rsidR="00D42B28" w:rsidRPr="008B25A7">
        <w:rPr>
          <w:lang w:val="en-GB"/>
        </w:rPr>
        <w:t>e</w:t>
      </w:r>
      <w:r w:rsidRPr="009261BE">
        <w:rPr>
          <w:lang w:val="en-GB"/>
        </w:rPr>
        <w:t xml:space="preserve"> reviewing the Rating Strategy</w:t>
      </w:r>
      <w:r w:rsidRPr="00F5316F">
        <w:rPr>
          <w:lang w:val="en-GB"/>
        </w:rPr>
        <w:t xml:space="preserve"> periodically and to publish and inform the community of its decisions in respect to the Rating Strategy.</w:t>
      </w:r>
    </w:p>
    <w:tbl>
      <w:tblPr>
        <w:tblStyle w:val="TableGrid"/>
        <w:tblW w:w="0" w:type="auto"/>
        <w:shd w:val="clear" w:color="auto" w:fill="0090A3"/>
        <w:tblLook w:val="04A0" w:firstRow="1" w:lastRow="0" w:firstColumn="1" w:lastColumn="0" w:noHBand="0" w:noVBand="1"/>
      </w:tblPr>
      <w:tblGrid>
        <w:gridCol w:w="9628"/>
      </w:tblGrid>
      <w:tr w:rsidR="00F5316F" w:rsidRPr="001330CB" w14:paraId="706EAEE2" w14:textId="77777777" w:rsidTr="00F5316F">
        <w:tc>
          <w:tcPr>
            <w:tcW w:w="9628" w:type="dxa"/>
            <w:shd w:val="clear" w:color="auto" w:fill="0090A3"/>
          </w:tcPr>
          <w:p w14:paraId="595ECC20" w14:textId="3727A1C5" w:rsidR="00F5316F" w:rsidRPr="00E86701" w:rsidRDefault="00F5316F" w:rsidP="00F4162A">
            <w:pPr>
              <w:widowControl w:val="0"/>
              <w:autoSpaceDE w:val="0"/>
              <w:autoSpaceDN w:val="0"/>
              <w:adjustRightInd w:val="0"/>
              <w:spacing w:line="276" w:lineRule="auto"/>
              <w:jc w:val="both"/>
              <w:rPr>
                <w:color w:val="FFFFFF" w:themeColor="background1"/>
                <w:sz w:val="24"/>
                <w:szCs w:val="24"/>
                <w:highlight w:val="red"/>
                <w:lang w:val="en-GB"/>
              </w:rPr>
            </w:pPr>
            <w:r w:rsidRPr="00E86701">
              <w:rPr>
                <w:b/>
                <w:color w:val="FFFFFF" w:themeColor="background1"/>
                <w:sz w:val="24"/>
                <w:szCs w:val="24"/>
                <w:lang w:val="en-GB"/>
              </w:rPr>
              <w:t xml:space="preserve">Rating Principle </w:t>
            </w:r>
            <w:r w:rsidR="001B3C92">
              <w:rPr>
                <w:b/>
                <w:color w:val="FFFFFF" w:themeColor="background1"/>
                <w:sz w:val="24"/>
                <w:szCs w:val="24"/>
                <w:lang w:val="en-GB"/>
              </w:rPr>
              <w:t>1</w:t>
            </w:r>
            <w:r w:rsidR="00E30883">
              <w:rPr>
                <w:b/>
                <w:color w:val="FFFFFF" w:themeColor="background1"/>
                <w:sz w:val="24"/>
                <w:szCs w:val="24"/>
                <w:lang w:val="en-GB"/>
              </w:rPr>
              <w:t>3</w:t>
            </w:r>
          </w:p>
          <w:p w14:paraId="6B352238" w14:textId="68DFE9BE" w:rsidR="00F5316F" w:rsidRPr="001330CB" w:rsidRDefault="00F5316F" w:rsidP="00F5316F">
            <w:pPr>
              <w:widowControl w:val="0"/>
              <w:autoSpaceDE w:val="0"/>
              <w:autoSpaceDN w:val="0"/>
              <w:adjustRightInd w:val="0"/>
              <w:spacing w:line="276" w:lineRule="auto"/>
              <w:jc w:val="both"/>
              <w:rPr>
                <w:color w:val="FFFFFF" w:themeColor="background1"/>
                <w:sz w:val="24"/>
                <w:highlight w:val="red"/>
                <w:lang w:val="en-GB"/>
              </w:rPr>
            </w:pPr>
            <w:r>
              <w:rPr>
                <w:color w:val="FFFFFF" w:themeColor="background1"/>
                <w:sz w:val="24"/>
                <w:szCs w:val="24"/>
                <w:lang w:val="en-GB"/>
              </w:rPr>
              <w:t xml:space="preserve">The City of Port Phillip Rating Strategy will be reviewed </w:t>
            </w:r>
            <w:r w:rsidR="00116ED7">
              <w:rPr>
                <w:color w:val="FFFFFF" w:themeColor="background1"/>
                <w:sz w:val="24"/>
                <w:szCs w:val="24"/>
                <w:lang w:val="en-GB"/>
              </w:rPr>
              <w:t>by 30 June following a general council election</w:t>
            </w:r>
            <w:r>
              <w:rPr>
                <w:color w:val="FFFFFF" w:themeColor="background1"/>
                <w:sz w:val="24"/>
                <w:szCs w:val="24"/>
                <w:lang w:val="en-GB"/>
              </w:rPr>
              <w:t>.</w:t>
            </w:r>
          </w:p>
        </w:tc>
      </w:tr>
    </w:tbl>
    <w:p w14:paraId="4A2B421C" w14:textId="0F509AEC" w:rsidR="009B7326" w:rsidRPr="00F811AA" w:rsidRDefault="009B7326" w:rsidP="00F5316F">
      <w:pPr>
        <w:jc w:val="both"/>
        <w:rPr>
          <w:i/>
          <w:color w:val="808080" w:themeColor="background1" w:themeShade="80"/>
          <w:sz w:val="18"/>
          <w:szCs w:val="18"/>
        </w:rPr>
      </w:pPr>
    </w:p>
    <w:sectPr w:rsidR="009B7326" w:rsidRPr="00F811AA" w:rsidSect="009C64CB">
      <w:headerReference w:type="even" r:id="rId13"/>
      <w:headerReference w:type="default" r:id="rId14"/>
      <w:footerReference w:type="even" r:id="rId15"/>
      <w:footerReference w:type="default" r:id="rId16"/>
      <w:headerReference w:type="first" r:id="rId17"/>
      <w:type w:val="continuous"/>
      <w:pgSz w:w="11906" w:h="16838"/>
      <w:pgMar w:top="1985"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92816" w16cex:dateUtc="2022-04-19T02:22:00Z"/>
  <w16cex:commentExtensible w16cex:durableId="260A7D35" w16cex:dateUtc="2022-04-20T0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A91F" w14:textId="77777777" w:rsidR="00AC6C12" w:rsidRDefault="00AC6C12" w:rsidP="00257DF2">
      <w:r>
        <w:separator/>
      </w:r>
    </w:p>
  </w:endnote>
  <w:endnote w:type="continuationSeparator" w:id="0">
    <w:p w14:paraId="0E21EA6B" w14:textId="77777777" w:rsidR="00AC6C12" w:rsidRDefault="00AC6C12" w:rsidP="00257DF2">
      <w:r>
        <w:continuationSeparator/>
      </w:r>
    </w:p>
  </w:endnote>
  <w:endnote w:type="continuationNotice" w:id="1">
    <w:p w14:paraId="70BE2F09" w14:textId="77777777" w:rsidR="00AC6C12" w:rsidRDefault="00AC6C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krobat Light">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15547728"/>
      <w:docPartObj>
        <w:docPartGallery w:val="Page Numbers (Bottom of Page)"/>
        <w:docPartUnique/>
      </w:docPartObj>
    </w:sdtPr>
    <w:sdtEndPr>
      <w:rPr>
        <w:noProof/>
        <w:sz w:val="20"/>
        <w:szCs w:val="20"/>
      </w:rPr>
    </w:sdtEndPr>
    <w:sdtContent>
      <w:p w14:paraId="35EA5824" w14:textId="53108D1F" w:rsidR="0068509D" w:rsidRPr="007000A1" w:rsidRDefault="0068509D"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0350253"/>
      <w:docPartObj>
        <w:docPartGallery w:val="Page Numbers (Bottom of Page)"/>
        <w:docPartUnique/>
      </w:docPartObj>
    </w:sdtPr>
    <w:sdtEndPr>
      <w:rPr>
        <w:noProof/>
      </w:rPr>
    </w:sdtEndPr>
    <w:sdtContent>
      <w:p w14:paraId="1DC62091" w14:textId="24446C6F" w:rsidR="0068509D" w:rsidRPr="007000A1" w:rsidRDefault="0068509D" w:rsidP="007000A1">
        <w:pPr>
          <w:pStyle w:val="Footer"/>
          <w:jc w:val="right"/>
        </w:pPr>
        <w:r>
          <w:rPr>
            <w:noProof w:val="0"/>
          </w:rPr>
          <w:fldChar w:fldCharType="begin"/>
        </w:r>
        <w:r>
          <w:instrText xml:space="preserve"> PAGE   \* MERGEFORMAT </w:instrText>
        </w:r>
        <w:r>
          <w:rPr>
            <w:noProof w:val="0"/>
          </w:rPr>
          <w:fldChar w:fldCharType="separate"/>
        </w:r>
        <w: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2F10" w14:textId="77777777" w:rsidR="00AC6C12" w:rsidRDefault="00AC6C12" w:rsidP="00257DF2">
      <w:r>
        <w:separator/>
      </w:r>
    </w:p>
  </w:footnote>
  <w:footnote w:type="continuationSeparator" w:id="0">
    <w:p w14:paraId="1A1A9C23" w14:textId="77777777" w:rsidR="00AC6C12" w:rsidRDefault="00AC6C12" w:rsidP="00257DF2">
      <w:r>
        <w:continuationSeparator/>
      </w:r>
    </w:p>
  </w:footnote>
  <w:footnote w:type="continuationNotice" w:id="1">
    <w:p w14:paraId="219E5A99" w14:textId="77777777" w:rsidR="00AC6C12" w:rsidRDefault="00AC6C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5A805752" w:rsidR="0068509D" w:rsidRDefault="0068509D">
    <w:pPr>
      <w:pStyle w:val="Header"/>
    </w:pPr>
    <w:r>
      <w:drawing>
        <wp:anchor distT="0" distB="0" distL="114300" distR="114300" simplePos="0" relativeHeight="251658240" behindDoc="1" locked="1" layoutInCell="1" allowOverlap="1" wp14:anchorId="14629428" wp14:editId="658ECC69">
          <wp:simplePos x="0" y="0"/>
          <wp:positionH relativeFrom="page">
            <wp:posOffset>0</wp:posOffset>
          </wp:positionH>
          <wp:positionV relativeFrom="page">
            <wp:posOffset>0</wp:posOffset>
          </wp:positionV>
          <wp:extent cx="7559675" cy="10691495"/>
          <wp:effectExtent l="0" t="0" r="3175"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58242" behindDoc="0" locked="1" layoutInCell="1" allowOverlap="1" wp14:anchorId="29AB1AC4" wp14:editId="6FCF9E47">
              <wp:simplePos x="0" y="0"/>
              <wp:positionH relativeFrom="margin">
                <wp:align>left</wp:align>
              </wp:positionH>
              <wp:positionV relativeFrom="page">
                <wp:posOffset>272415</wp:posOffset>
              </wp:positionV>
              <wp:extent cx="375285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9565"/>
                      </a:xfrm>
                      <a:prstGeom prst="rect">
                        <a:avLst/>
                      </a:prstGeom>
                      <a:noFill/>
                      <a:ln w="9525">
                        <a:noFill/>
                        <a:miter lim="800000"/>
                        <a:headEnd/>
                        <a:tailEnd/>
                      </a:ln>
                    </wps:spPr>
                    <wps:txbx>
                      <w:txbxContent>
                        <w:p w14:paraId="48343893" w14:textId="6CFB39B1" w:rsidR="0068509D" w:rsidRPr="009C64CB" w:rsidRDefault="0068509D" w:rsidP="009C64CB">
                          <w:pPr>
                            <w:pStyle w:val="BasicParagraph"/>
                            <w:suppressAutoHyphens/>
                            <w:rPr>
                              <w:rFonts w:ascii="Akrobat Bold" w:hAnsi="Akrobat Bold" w:cs="Akrobat Bold"/>
                              <w:b/>
                              <w:bCs/>
                              <w:color w:val="958A7A"/>
                            </w:rPr>
                          </w:pPr>
                          <w:r>
                            <w:rPr>
                              <w:rFonts w:ascii="Akrobat Light" w:hAnsi="Akrobat Light" w:cs="Akrobat Light"/>
                              <w:color w:val="958A7A"/>
                            </w:rPr>
                            <w:t xml:space="preserve">City of Port Phillip </w:t>
                          </w:r>
                          <w:r w:rsidR="003856B7">
                            <w:rPr>
                              <w:rFonts w:ascii="Akrobat Light" w:hAnsi="Akrobat Light" w:cs="Akrobat Light"/>
                              <w:color w:val="958A7A"/>
                            </w:rPr>
                            <w:t xml:space="preserve">Draft </w:t>
                          </w:r>
                          <w:r>
                            <w:rPr>
                              <w:rFonts w:ascii="Akrobat Bold" w:hAnsi="Akrobat Bold" w:cs="Akrobat Bold"/>
                              <w:b/>
                              <w:bCs/>
                              <w:color w:val="958A7A"/>
                            </w:rPr>
                            <w:t>Rating Strategy</w:t>
                          </w:r>
                          <w:r w:rsidR="003856B7">
                            <w:rPr>
                              <w:rFonts w:ascii="Akrobat Bold" w:hAnsi="Akrobat Bold" w:cs="Akrobat Bold"/>
                              <w:b/>
                              <w:bCs/>
                              <w:color w:val="958A7A"/>
                            </w:rPr>
                            <w:t xml:space="preserve"> 2022</w:t>
                          </w:r>
                          <w:r w:rsidR="00082474">
                            <w:rPr>
                              <w:rFonts w:ascii="Akrobat Bold" w:hAnsi="Akrobat Bold" w:cs="Akrobat Bold"/>
                              <w:b/>
                              <w:bCs/>
                              <w:color w:val="958A7A"/>
                            </w:rPr>
                            <w:t>-25</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295.5pt;height:25.9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" filled="f" stroked="f">
              <v:textbox inset="0,0,0,0">
                <w:txbxContent>
                  <w:p w14:paraId="48343893" w14:textId="6CFB39B1" w:rsidR="0068509D" w:rsidRPr="009C64CB" w:rsidRDefault="0068509D" w:rsidP="009C64CB">
                    <w:pPr>
                      <w:pStyle w:val="BasicParagraph"/>
                      <w:suppressAutoHyphens/>
                      <w:rPr>
                        <w:rFonts w:ascii="Akrobat Bold" w:hAnsi="Akrobat Bold" w:cs="Akrobat Bold"/>
                        <w:b/>
                        <w:bCs/>
                        <w:color w:val="958A7A"/>
                      </w:rPr>
                    </w:pPr>
                    <w:r>
                      <w:rPr>
                        <w:rFonts w:ascii="Akrobat Light" w:hAnsi="Akrobat Light" w:cs="Akrobat Light"/>
                        <w:color w:val="958A7A"/>
                      </w:rPr>
                      <w:t xml:space="preserve">City of Port Phillip </w:t>
                    </w:r>
                    <w:r w:rsidR="003856B7">
                      <w:rPr>
                        <w:rFonts w:ascii="Akrobat Light" w:hAnsi="Akrobat Light" w:cs="Akrobat Light"/>
                        <w:color w:val="958A7A"/>
                      </w:rPr>
                      <w:t xml:space="preserve">Draft </w:t>
                    </w:r>
                    <w:r>
                      <w:rPr>
                        <w:rFonts w:ascii="Akrobat Bold" w:hAnsi="Akrobat Bold" w:cs="Akrobat Bold"/>
                        <w:b/>
                        <w:bCs/>
                        <w:color w:val="958A7A"/>
                      </w:rPr>
                      <w:t>Rating Strategy</w:t>
                    </w:r>
                    <w:r w:rsidR="003856B7">
                      <w:rPr>
                        <w:rFonts w:ascii="Akrobat Bold" w:hAnsi="Akrobat Bold" w:cs="Akrobat Bold"/>
                        <w:b/>
                        <w:bCs/>
                        <w:color w:val="958A7A"/>
                      </w:rPr>
                      <w:t xml:space="preserve"> 2022</w:t>
                    </w:r>
                    <w:r w:rsidR="00082474">
                      <w:rPr>
                        <w:rFonts w:ascii="Akrobat Bold" w:hAnsi="Akrobat Bold" w:cs="Akrobat Bold"/>
                        <w:b/>
                        <w:bCs/>
                        <w:color w:val="958A7A"/>
                      </w:rPr>
                      <w:t>-25</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443C0DC4" w:rsidR="0068509D" w:rsidRDefault="0068509D">
    <w:pPr>
      <w:pStyle w:val="Header"/>
    </w:pPr>
    <w:r w:rsidRPr="009C64CB">
      <mc:AlternateContent>
        <mc:Choice Requires="wps">
          <w:drawing>
            <wp:anchor distT="45720" distB="45720" distL="114300" distR="114300" simplePos="0" relativeHeight="251658243" behindDoc="0" locked="1" layoutInCell="1" allowOverlap="1" wp14:anchorId="5A5D7D2F" wp14:editId="06BD63AE">
              <wp:simplePos x="0" y="0"/>
              <wp:positionH relativeFrom="margin">
                <wp:align>left</wp:align>
              </wp:positionH>
              <wp:positionV relativeFrom="page">
                <wp:posOffset>276225</wp:posOffset>
              </wp:positionV>
              <wp:extent cx="379095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9565"/>
                      </a:xfrm>
                      <a:prstGeom prst="rect">
                        <a:avLst/>
                      </a:prstGeom>
                      <a:noFill/>
                      <a:ln w="9525">
                        <a:noFill/>
                        <a:miter lim="800000"/>
                        <a:headEnd/>
                        <a:tailEnd/>
                      </a:ln>
                    </wps:spPr>
                    <wps:txbx>
                      <w:txbxContent>
                        <w:p w14:paraId="0A089DB2" w14:textId="653536AC" w:rsidR="0068509D" w:rsidRPr="009C64CB" w:rsidRDefault="0068509D" w:rsidP="009C64CB">
                          <w:pPr>
                            <w:pStyle w:val="BasicParagraph"/>
                            <w:suppressAutoHyphens/>
                            <w:rPr>
                              <w:rFonts w:ascii="Akrobat Bold" w:hAnsi="Akrobat Bold" w:cs="Akrobat Bold"/>
                              <w:b/>
                              <w:bCs/>
                              <w:color w:val="958A7A"/>
                            </w:rPr>
                          </w:pPr>
                          <w:r>
                            <w:rPr>
                              <w:rFonts w:ascii="Akrobat Light" w:hAnsi="Akrobat Light" w:cs="Akrobat Light"/>
                              <w:color w:val="958A7A"/>
                            </w:rPr>
                            <w:t xml:space="preserve">City of Port Phillip </w:t>
                          </w:r>
                          <w:r w:rsidR="003856B7">
                            <w:rPr>
                              <w:rFonts w:ascii="Akrobat Light" w:hAnsi="Akrobat Light" w:cs="Akrobat Light"/>
                              <w:color w:val="958A7A"/>
                            </w:rPr>
                            <w:t xml:space="preserve">Draft </w:t>
                          </w:r>
                          <w:r>
                            <w:rPr>
                              <w:rFonts w:ascii="Akrobat Bold" w:hAnsi="Akrobat Bold" w:cs="Akrobat Bold"/>
                              <w:b/>
                              <w:bCs/>
                              <w:color w:val="958A7A"/>
                            </w:rPr>
                            <w:t>Rating Strategy</w:t>
                          </w:r>
                          <w:r w:rsidR="003856B7">
                            <w:rPr>
                              <w:rFonts w:ascii="Akrobat Bold" w:hAnsi="Akrobat Bold" w:cs="Akrobat Bold"/>
                              <w:b/>
                              <w:bCs/>
                              <w:color w:val="958A7A"/>
                            </w:rPr>
                            <w:t xml:space="preserve"> 2022</w:t>
                          </w:r>
                          <w:r w:rsidR="00082474">
                            <w:rPr>
                              <w:rFonts w:ascii="Akrobat Bold" w:hAnsi="Akrobat Bold" w:cs="Akrobat Bold"/>
                              <w:b/>
                              <w:bCs/>
                              <w:color w:val="958A7A"/>
                            </w:rPr>
                            <w:t>-25</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298.5pt;height:25.9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" filled="f" stroked="f">
              <v:textbox inset="0,0,0,0">
                <w:txbxContent>
                  <w:p w14:paraId="0A089DB2" w14:textId="653536AC" w:rsidR="0068509D" w:rsidRPr="009C64CB" w:rsidRDefault="0068509D" w:rsidP="009C64CB">
                    <w:pPr>
                      <w:pStyle w:val="BasicParagraph"/>
                      <w:suppressAutoHyphens/>
                      <w:rPr>
                        <w:rFonts w:ascii="Akrobat Bold" w:hAnsi="Akrobat Bold" w:cs="Akrobat Bold"/>
                        <w:b/>
                        <w:bCs/>
                        <w:color w:val="958A7A"/>
                      </w:rPr>
                    </w:pPr>
                    <w:r>
                      <w:rPr>
                        <w:rFonts w:ascii="Akrobat Light" w:hAnsi="Akrobat Light" w:cs="Akrobat Light"/>
                        <w:color w:val="958A7A"/>
                      </w:rPr>
                      <w:t xml:space="preserve">City of Port Phillip </w:t>
                    </w:r>
                    <w:r w:rsidR="003856B7">
                      <w:rPr>
                        <w:rFonts w:ascii="Akrobat Light" w:hAnsi="Akrobat Light" w:cs="Akrobat Light"/>
                        <w:color w:val="958A7A"/>
                      </w:rPr>
                      <w:t xml:space="preserve">Draft </w:t>
                    </w:r>
                    <w:r>
                      <w:rPr>
                        <w:rFonts w:ascii="Akrobat Bold" w:hAnsi="Akrobat Bold" w:cs="Akrobat Bold"/>
                        <w:b/>
                        <w:bCs/>
                        <w:color w:val="958A7A"/>
                      </w:rPr>
                      <w:t>Rating Strategy</w:t>
                    </w:r>
                    <w:r w:rsidR="003856B7">
                      <w:rPr>
                        <w:rFonts w:ascii="Akrobat Bold" w:hAnsi="Akrobat Bold" w:cs="Akrobat Bold"/>
                        <w:b/>
                        <w:bCs/>
                        <w:color w:val="958A7A"/>
                      </w:rPr>
                      <w:t xml:space="preserve"> 2022</w:t>
                    </w:r>
                    <w:r w:rsidR="00082474">
                      <w:rPr>
                        <w:rFonts w:ascii="Akrobat Bold" w:hAnsi="Akrobat Bold" w:cs="Akrobat Bold"/>
                        <w:b/>
                        <w:bCs/>
                        <w:color w:val="958A7A"/>
                      </w:rPr>
                      <w:t>-25</w:t>
                    </w:r>
                  </w:p>
                </w:txbxContent>
              </v:textbox>
              <w10:wrap anchorx="margin" anchory="page"/>
              <w10:anchorlock/>
            </v:shape>
          </w:pict>
        </mc:Fallback>
      </mc:AlternateContent>
    </w:r>
    <w:r>
      <w:drawing>
        <wp:anchor distT="0" distB="0" distL="114300" distR="114300" simplePos="0" relativeHeight="251658241" behindDoc="1" locked="1" layoutInCell="1" allowOverlap="1" wp14:anchorId="1620BE10" wp14:editId="4EE8F809">
          <wp:simplePos x="0" y="0"/>
          <wp:positionH relativeFrom="page">
            <wp:posOffset>0</wp:posOffset>
          </wp:positionH>
          <wp:positionV relativeFrom="page">
            <wp:posOffset>0</wp:posOffset>
          </wp:positionV>
          <wp:extent cx="7560000" cy="10699200"/>
          <wp:effectExtent l="0" t="0" r="3175" b="6985"/>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5BB6A9FD" w:rsidR="0068509D" w:rsidRDefault="0068509D" w:rsidP="00A15DC8">
    <w:r w:rsidRPr="00A15DC8">
      <mc:AlternateContent>
        <mc:Choice Requires="wps">
          <w:drawing>
            <wp:anchor distT="0" distB="0" distL="114300" distR="114300" simplePos="0" relativeHeight="251658244" behindDoc="0" locked="0" layoutInCell="1" allowOverlap="1" wp14:anchorId="09A43784" wp14:editId="2B0C3FEA">
              <wp:simplePos x="0" y="0"/>
              <wp:positionH relativeFrom="column">
                <wp:posOffset>-720090</wp:posOffset>
              </wp:positionH>
              <wp:positionV relativeFrom="paragraph">
                <wp:posOffset>4017010</wp:posOffset>
              </wp:positionV>
              <wp:extent cx="7559040" cy="6219825"/>
              <wp:effectExtent l="0" t="0" r="22860" b="28575"/>
              <wp:wrapNone/>
              <wp:docPr id="6" name="Rectangle 6"/>
              <wp:cNvGraphicFramePr/>
              <a:graphic xmlns:a="http://schemas.openxmlformats.org/drawingml/2006/main">
                <a:graphicData uri="http://schemas.microsoft.com/office/word/2010/wordprocessingShape">
                  <wps:wsp>
                    <wps:cNvSpPr/>
                    <wps:spPr>
                      <a:xfrm>
                        <a:off x="0" y="0"/>
                        <a:ext cx="7559040" cy="621982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3473B" id="Rectangle 6" o:spid="_x0000_s1026" style="position:absolute;margin-left:-56.7pt;margin-top:316.3pt;width:595.2pt;height:489.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" fillcolor="#c3c3c3 [2134]" strokecolor="#525252 [1606]" strokeweight="1pt">
              <v:fill color2="#eaeaea [758]" rotate="t" colors="0 #cacaca;.5 #ddd;1 #eee" focus="100%" type="gradient"/>
            </v:rect>
          </w:pict>
        </mc:Fallback>
      </mc:AlternateContent>
    </w:r>
    <w:r>
      <w:drawing>
        <wp:anchor distT="0" distB="0" distL="114300" distR="114300" simplePos="0" relativeHeight="251658245" behindDoc="0" locked="1" layoutInCell="1" allowOverlap="1" wp14:anchorId="1E2CCB65" wp14:editId="2BBCCC69">
          <wp:simplePos x="0" y="0"/>
          <wp:positionH relativeFrom="page">
            <wp:posOffset>0</wp:posOffset>
          </wp:positionH>
          <wp:positionV relativeFrom="page">
            <wp:posOffset>0</wp:posOffset>
          </wp:positionV>
          <wp:extent cx="7559040" cy="6932930"/>
          <wp:effectExtent l="0" t="0" r="3810" b="127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rotWithShape="1">
                  <a:blip r:embed="rId1">
                    <a:extLst>
                      <a:ext uri="{28A0092B-C50C-407E-A947-70E740481C1C}">
                        <a14:useLocalDpi xmlns:a14="http://schemas.microsoft.com/office/drawing/2010/main" val="0"/>
                      </a:ext>
                    </a:extLst>
                  </a:blip>
                  <a:srcRect b="35153"/>
                  <a:stretch/>
                </pic:blipFill>
                <pic:spPr bwMode="auto">
                  <a:xfrm>
                    <a:off x="0" y="0"/>
                    <a:ext cx="7559040" cy="693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996622D"/>
    <w:multiLevelType w:val="hybridMultilevel"/>
    <w:tmpl w:val="43C0AD22"/>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B7EE2"/>
    <w:multiLevelType w:val="hybridMultilevel"/>
    <w:tmpl w:val="EEAE3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97878"/>
    <w:multiLevelType w:val="multilevel"/>
    <w:tmpl w:val="24D69A86"/>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1418" w:hanging="851"/>
      </w:pPr>
      <w:rPr>
        <w:rFonts w:hint="default"/>
        <w:color w:val="auto"/>
        <w:sz w:val="22"/>
        <w:szCs w:val="22"/>
      </w:rPr>
    </w:lvl>
    <w:lvl w:ilvl="2">
      <w:start w:val="1"/>
      <w:numFmt w:val="decimal"/>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1418" w:hanging="284"/>
      </w:pPr>
      <w:rPr>
        <w:rFonts w:ascii="Courier New" w:hAnsi="Courier New" w:cs="Courier New"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18C97A1B"/>
    <w:multiLevelType w:val="hybridMultilevel"/>
    <w:tmpl w:val="51A489BC"/>
    <w:lvl w:ilvl="0" w:tplc="FFFFFFFF">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070AF1"/>
    <w:multiLevelType w:val="hybridMultilevel"/>
    <w:tmpl w:val="EEB4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867029"/>
    <w:multiLevelType w:val="hybridMultilevel"/>
    <w:tmpl w:val="3348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0E5788"/>
    <w:multiLevelType w:val="hybridMultilevel"/>
    <w:tmpl w:val="A530ABF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49D95F7C"/>
    <w:multiLevelType w:val="hybridMultilevel"/>
    <w:tmpl w:val="E7E6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C01257"/>
    <w:multiLevelType w:val="hybridMultilevel"/>
    <w:tmpl w:val="76AE926E"/>
    <w:lvl w:ilvl="0" w:tplc="0C090001">
      <w:start w:val="1"/>
      <w:numFmt w:val="bullet"/>
      <w:lvlText w:val=""/>
      <w:lvlJc w:val="left"/>
      <w:pPr>
        <w:ind w:left="2295" w:hanging="360"/>
      </w:pPr>
      <w:rPr>
        <w:rFonts w:ascii="Symbol" w:hAnsi="Symbol" w:hint="default"/>
      </w:rPr>
    </w:lvl>
    <w:lvl w:ilvl="1" w:tplc="0C090003">
      <w:start w:val="1"/>
      <w:numFmt w:val="bullet"/>
      <w:lvlText w:val="o"/>
      <w:lvlJc w:val="left"/>
      <w:pPr>
        <w:ind w:left="3015" w:hanging="360"/>
      </w:pPr>
      <w:rPr>
        <w:rFonts w:ascii="Courier New" w:hAnsi="Courier New" w:cs="Courier New" w:hint="default"/>
      </w:rPr>
    </w:lvl>
    <w:lvl w:ilvl="2" w:tplc="0C090005" w:tentative="1">
      <w:start w:val="1"/>
      <w:numFmt w:val="bullet"/>
      <w:lvlText w:val=""/>
      <w:lvlJc w:val="left"/>
      <w:pPr>
        <w:ind w:left="3735" w:hanging="360"/>
      </w:pPr>
      <w:rPr>
        <w:rFonts w:ascii="Wingdings" w:hAnsi="Wingdings" w:hint="default"/>
      </w:rPr>
    </w:lvl>
    <w:lvl w:ilvl="3" w:tplc="0C090001" w:tentative="1">
      <w:start w:val="1"/>
      <w:numFmt w:val="bullet"/>
      <w:lvlText w:val=""/>
      <w:lvlJc w:val="left"/>
      <w:pPr>
        <w:ind w:left="4455" w:hanging="360"/>
      </w:pPr>
      <w:rPr>
        <w:rFonts w:ascii="Symbol" w:hAnsi="Symbol" w:hint="default"/>
      </w:rPr>
    </w:lvl>
    <w:lvl w:ilvl="4" w:tplc="0C090003" w:tentative="1">
      <w:start w:val="1"/>
      <w:numFmt w:val="bullet"/>
      <w:lvlText w:val="o"/>
      <w:lvlJc w:val="left"/>
      <w:pPr>
        <w:ind w:left="5175" w:hanging="360"/>
      </w:pPr>
      <w:rPr>
        <w:rFonts w:ascii="Courier New" w:hAnsi="Courier New" w:cs="Courier New" w:hint="default"/>
      </w:rPr>
    </w:lvl>
    <w:lvl w:ilvl="5" w:tplc="0C090005" w:tentative="1">
      <w:start w:val="1"/>
      <w:numFmt w:val="bullet"/>
      <w:lvlText w:val=""/>
      <w:lvlJc w:val="left"/>
      <w:pPr>
        <w:ind w:left="5895" w:hanging="360"/>
      </w:pPr>
      <w:rPr>
        <w:rFonts w:ascii="Wingdings" w:hAnsi="Wingdings" w:hint="default"/>
      </w:rPr>
    </w:lvl>
    <w:lvl w:ilvl="6" w:tplc="0C090001" w:tentative="1">
      <w:start w:val="1"/>
      <w:numFmt w:val="bullet"/>
      <w:lvlText w:val=""/>
      <w:lvlJc w:val="left"/>
      <w:pPr>
        <w:ind w:left="6615" w:hanging="360"/>
      </w:pPr>
      <w:rPr>
        <w:rFonts w:ascii="Symbol" w:hAnsi="Symbol" w:hint="default"/>
      </w:rPr>
    </w:lvl>
    <w:lvl w:ilvl="7" w:tplc="0C090003" w:tentative="1">
      <w:start w:val="1"/>
      <w:numFmt w:val="bullet"/>
      <w:lvlText w:val="o"/>
      <w:lvlJc w:val="left"/>
      <w:pPr>
        <w:ind w:left="7335" w:hanging="360"/>
      </w:pPr>
      <w:rPr>
        <w:rFonts w:ascii="Courier New" w:hAnsi="Courier New" w:cs="Courier New" w:hint="default"/>
      </w:rPr>
    </w:lvl>
    <w:lvl w:ilvl="8" w:tplc="0C090005" w:tentative="1">
      <w:start w:val="1"/>
      <w:numFmt w:val="bullet"/>
      <w:lvlText w:val=""/>
      <w:lvlJc w:val="left"/>
      <w:pPr>
        <w:ind w:left="8055" w:hanging="360"/>
      </w:pPr>
      <w:rPr>
        <w:rFonts w:ascii="Wingdings" w:hAnsi="Wingdings" w:hint="default"/>
      </w:rPr>
    </w:lvl>
  </w:abstractNum>
  <w:abstractNum w:abstractNumId="14" w15:restartNumberingAfterBreak="0">
    <w:nsid w:val="59DA451B"/>
    <w:multiLevelType w:val="hybridMultilevel"/>
    <w:tmpl w:val="DC903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37378E4"/>
    <w:multiLevelType w:val="hybridMultilevel"/>
    <w:tmpl w:val="28300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EB0177"/>
    <w:multiLevelType w:val="hybridMultilevel"/>
    <w:tmpl w:val="AF700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86F87"/>
    <w:multiLevelType w:val="hybridMultilevel"/>
    <w:tmpl w:val="B2064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69095C"/>
    <w:multiLevelType w:val="hybridMultilevel"/>
    <w:tmpl w:val="91641FC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40F27A7"/>
    <w:multiLevelType w:val="multilevel"/>
    <w:tmpl w:val="BFBAB978"/>
    <w:lvl w:ilvl="0">
      <w:start w:val="1"/>
      <w:numFmt w:val="decimal"/>
      <w:pStyle w:val="Heading1"/>
      <w:lvlText w:val="%1."/>
      <w:lvlJc w:val="left"/>
      <w:pPr>
        <w:ind w:left="720" w:hanging="720"/>
      </w:pPr>
      <w:rPr>
        <w:rFonts w:hint="default"/>
      </w:rPr>
    </w:lvl>
    <w:lvl w:ilvl="1">
      <w:start w:val="3"/>
      <w:numFmt w:val="decimal"/>
      <w:pStyle w:val="Heading2"/>
      <w:isLgl/>
      <w:lvlText w:val="%1.%2"/>
      <w:lvlJc w:val="left"/>
      <w:pPr>
        <w:ind w:left="735" w:hanging="73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0" w15:restartNumberingAfterBreak="0">
    <w:nsid w:val="75633200"/>
    <w:multiLevelType w:val="hybridMultilevel"/>
    <w:tmpl w:val="D4F68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D447B3"/>
    <w:multiLevelType w:val="hybridMultilevel"/>
    <w:tmpl w:val="D584B71C"/>
    <w:lvl w:ilvl="0" w:tplc="0C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2"/>
  </w:num>
  <w:num w:numId="5">
    <w:abstractNumId w:val="6"/>
  </w:num>
  <w:num w:numId="6">
    <w:abstractNumId w:val="20"/>
  </w:num>
  <w:num w:numId="7">
    <w:abstractNumId w:val="19"/>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3"/>
  </w:num>
  <w:num w:numId="1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14"/>
  </w:num>
  <w:num w:numId="25">
    <w:abstractNumId w:val="17"/>
  </w:num>
  <w:num w:numId="26">
    <w:abstractNumId w:val="19"/>
  </w:num>
  <w:num w:numId="27">
    <w:abstractNumId w:val="10"/>
  </w:num>
  <w:num w:numId="28">
    <w:abstractNumId w:val="11"/>
  </w:num>
  <w:num w:numId="29">
    <w:abstractNumId w:val="9"/>
  </w:num>
  <w:num w:numId="30">
    <w:abstractNumId w:val="19"/>
  </w:num>
  <w:num w:numId="31">
    <w:abstractNumId w:val="19"/>
    <w:lvlOverride w:ilvl="0">
      <w:startOverride w:val="3"/>
    </w:lvlOverride>
    <w:lvlOverride w:ilvl="1">
      <w:startOverride w:val="1"/>
    </w:lvlOverride>
  </w:num>
  <w:num w:numId="32">
    <w:abstractNumId w:val="4"/>
  </w:num>
  <w:num w:numId="33">
    <w:abstractNumId w:val="19"/>
    <w:lvlOverride w:ilvl="0">
      <w:startOverride w:val="2"/>
    </w:lvlOverride>
    <w:lvlOverride w:ilvl="1">
      <w:startOverride w:val="2"/>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0D01"/>
    <w:rsid w:val="00001B1D"/>
    <w:rsid w:val="00004552"/>
    <w:rsid w:val="000065BE"/>
    <w:rsid w:val="000071E0"/>
    <w:rsid w:val="000107F2"/>
    <w:rsid w:val="000120C3"/>
    <w:rsid w:val="0001381D"/>
    <w:rsid w:val="0001424C"/>
    <w:rsid w:val="0001593D"/>
    <w:rsid w:val="00020D4C"/>
    <w:rsid w:val="00021528"/>
    <w:rsid w:val="00021811"/>
    <w:rsid w:val="000231E7"/>
    <w:rsid w:val="00023322"/>
    <w:rsid w:val="0002597B"/>
    <w:rsid w:val="00026E31"/>
    <w:rsid w:val="0002707D"/>
    <w:rsid w:val="00027C52"/>
    <w:rsid w:val="00033009"/>
    <w:rsid w:val="00035135"/>
    <w:rsid w:val="000367AD"/>
    <w:rsid w:val="00040B90"/>
    <w:rsid w:val="0004417A"/>
    <w:rsid w:val="00046903"/>
    <w:rsid w:val="00046D9C"/>
    <w:rsid w:val="00051FD2"/>
    <w:rsid w:val="000520B1"/>
    <w:rsid w:val="00054536"/>
    <w:rsid w:val="000550D5"/>
    <w:rsid w:val="00055108"/>
    <w:rsid w:val="000612BB"/>
    <w:rsid w:val="00062D55"/>
    <w:rsid w:val="00064EC5"/>
    <w:rsid w:val="00064F2B"/>
    <w:rsid w:val="000657EB"/>
    <w:rsid w:val="0006597D"/>
    <w:rsid w:val="00066D2B"/>
    <w:rsid w:val="00067770"/>
    <w:rsid w:val="0007053D"/>
    <w:rsid w:val="00071474"/>
    <w:rsid w:val="00072190"/>
    <w:rsid w:val="00076B52"/>
    <w:rsid w:val="00077BE5"/>
    <w:rsid w:val="00082474"/>
    <w:rsid w:val="00085F65"/>
    <w:rsid w:val="000867BC"/>
    <w:rsid w:val="00086A79"/>
    <w:rsid w:val="000875BA"/>
    <w:rsid w:val="000900A4"/>
    <w:rsid w:val="000906A7"/>
    <w:rsid w:val="00091B6E"/>
    <w:rsid w:val="00092463"/>
    <w:rsid w:val="00095316"/>
    <w:rsid w:val="0009572C"/>
    <w:rsid w:val="00097DD4"/>
    <w:rsid w:val="000A320C"/>
    <w:rsid w:val="000A43BE"/>
    <w:rsid w:val="000A4B2F"/>
    <w:rsid w:val="000A7991"/>
    <w:rsid w:val="000B0090"/>
    <w:rsid w:val="000B0FE9"/>
    <w:rsid w:val="000B2558"/>
    <w:rsid w:val="000B5727"/>
    <w:rsid w:val="000B6341"/>
    <w:rsid w:val="000B78BD"/>
    <w:rsid w:val="000C05EA"/>
    <w:rsid w:val="000C0F1B"/>
    <w:rsid w:val="000C2FF8"/>
    <w:rsid w:val="000C44ED"/>
    <w:rsid w:val="000C77F0"/>
    <w:rsid w:val="000D1052"/>
    <w:rsid w:val="000D45B8"/>
    <w:rsid w:val="000D64F3"/>
    <w:rsid w:val="000E28E2"/>
    <w:rsid w:val="000E57DD"/>
    <w:rsid w:val="000E592D"/>
    <w:rsid w:val="000E6C6F"/>
    <w:rsid w:val="000E7896"/>
    <w:rsid w:val="000F07F7"/>
    <w:rsid w:val="000F1F51"/>
    <w:rsid w:val="000F2872"/>
    <w:rsid w:val="000F2FCB"/>
    <w:rsid w:val="00102A08"/>
    <w:rsid w:val="00104AEA"/>
    <w:rsid w:val="00106791"/>
    <w:rsid w:val="001078BC"/>
    <w:rsid w:val="001111B7"/>
    <w:rsid w:val="00111D07"/>
    <w:rsid w:val="001142C2"/>
    <w:rsid w:val="00116566"/>
    <w:rsid w:val="0011671E"/>
    <w:rsid w:val="00116ED7"/>
    <w:rsid w:val="00122A7A"/>
    <w:rsid w:val="001251E9"/>
    <w:rsid w:val="001319FD"/>
    <w:rsid w:val="00131E5F"/>
    <w:rsid w:val="001330CB"/>
    <w:rsid w:val="00134E4D"/>
    <w:rsid w:val="001352B9"/>
    <w:rsid w:val="001352F3"/>
    <w:rsid w:val="001364E3"/>
    <w:rsid w:val="00137348"/>
    <w:rsid w:val="001378B5"/>
    <w:rsid w:val="00145BCF"/>
    <w:rsid w:val="00147D3C"/>
    <w:rsid w:val="00151FCD"/>
    <w:rsid w:val="00151FED"/>
    <w:rsid w:val="00153962"/>
    <w:rsid w:val="00160B5F"/>
    <w:rsid w:val="00160ED6"/>
    <w:rsid w:val="00161E1D"/>
    <w:rsid w:val="00165E7D"/>
    <w:rsid w:val="0016603A"/>
    <w:rsid w:val="001663CD"/>
    <w:rsid w:val="00167455"/>
    <w:rsid w:val="0016778D"/>
    <w:rsid w:val="00167ECC"/>
    <w:rsid w:val="00170672"/>
    <w:rsid w:val="0017122A"/>
    <w:rsid w:val="001723C2"/>
    <w:rsid w:val="00172CF5"/>
    <w:rsid w:val="00174460"/>
    <w:rsid w:val="00177C94"/>
    <w:rsid w:val="00185568"/>
    <w:rsid w:val="00187636"/>
    <w:rsid w:val="0019241C"/>
    <w:rsid w:val="0019349D"/>
    <w:rsid w:val="00193917"/>
    <w:rsid w:val="0019509C"/>
    <w:rsid w:val="00197291"/>
    <w:rsid w:val="001A0588"/>
    <w:rsid w:val="001A18BE"/>
    <w:rsid w:val="001A35FE"/>
    <w:rsid w:val="001A4D49"/>
    <w:rsid w:val="001A7A89"/>
    <w:rsid w:val="001B1B72"/>
    <w:rsid w:val="001B3290"/>
    <w:rsid w:val="001B3338"/>
    <w:rsid w:val="001B3C92"/>
    <w:rsid w:val="001B4676"/>
    <w:rsid w:val="001B4BF9"/>
    <w:rsid w:val="001B4D63"/>
    <w:rsid w:val="001B5ABA"/>
    <w:rsid w:val="001B63AE"/>
    <w:rsid w:val="001B6B15"/>
    <w:rsid w:val="001C2A76"/>
    <w:rsid w:val="001C2B82"/>
    <w:rsid w:val="001C2F40"/>
    <w:rsid w:val="001C5443"/>
    <w:rsid w:val="001C6250"/>
    <w:rsid w:val="001C74C8"/>
    <w:rsid w:val="001D230E"/>
    <w:rsid w:val="001D3DBD"/>
    <w:rsid w:val="001D504A"/>
    <w:rsid w:val="001D5126"/>
    <w:rsid w:val="001D70F3"/>
    <w:rsid w:val="001E0F66"/>
    <w:rsid w:val="001E20FA"/>
    <w:rsid w:val="001E458A"/>
    <w:rsid w:val="001E5290"/>
    <w:rsid w:val="001E53CE"/>
    <w:rsid w:val="001F2041"/>
    <w:rsid w:val="001F622B"/>
    <w:rsid w:val="001F6855"/>
    <w:rsid w:val="001F6E37"/>
    <w:rsid w:val="002010CB"/>
    <w:rsid w:val="00201E2C"/>
    <w:rsid w:val="0020288B"/>
    <w:rsid w:val="00203B9B"/>
    <w:rsid w:val="00204C45"/>
    <w:rsid w:val="00206738"/>
    <w:rsid w:val="00207F77"/>
    <w:rsid w:val="002103FA"/>
    <w:rsid w:val="00210C37"/>
    <w:rsid w:val="002114C9"/>
    <w:rsid w:val="00211688"/>
    <w:rsid w:val="00217B11"/>
    <w:rsid w:val="00217CBD"/>
    <w:rsid w:val="00222B7C"/>
    <w:rsid w:val="00224ED8"/>
    <w:rsid w:val="00225B2E"/>
    <w:rsid w:val="0022690D"/>
    <w:rsid w:val="00226BF2"/>
    <w:rsid w:val="00226F54"/>
    <w:rsid w:val="002275D5"/>
    <w:rsid w:val="002318AE"/>
    <w:rsid w:val="00231967"/>
    <w:rsid w:val="00231B2E"/>
    <w:rsid w:val="00232547"/>
    <w:rsid w:val="00234D4D"/>
    <w:rsid w:val="002351FB"/>
    <w:rsid w:val="00236741"/>
    <w:rsid w:val="00240307"/>
    <w:rsid w:val="00243370"/>
    <w:rsid w:val="00245F4D"/>
    <w:rsid w:val="00250810"/>
    <w:rsid w:val="00252674"/>
    <w:rsid w:val="00254BEF"/>
    <w:rsid w:val="002567F4"/>
    <w:rsid w:val="0025690B"/>
    <w:rsid w:val="00256E31"/>
    <w:rsid w:val="00257B4F"/>
    <w:rsid w:val="00257DF2"/>
    <w:rsid w:val="00264AC9"/>
    <w:rsid w:val="00266881"/>
    <w:rsid w:val="0026750B"/>
    <w:rsid w:val="002677C4"/>
    <w:rsid w:val="00267F70"/>
    <w:rsid w:val="0027074D"/>
    <w:rsid w:val="00271196"/>
    <w:rsid w:val="00272449"/>
    <w:rsid w:val="00272496"/>
    <w:rsid w:val="002810FA"/>
    <w:rsid w:val="002813C4"/>
    <w:rsid w:val="00284161"/>
    <w:rsid w:val="00286F35"/>
    <w:rsid w:val="0028742E"/>
    <w:rsid w:val="0029242B"/>
    <w:rsid w:val="00293CCD"/>
    <w:rsid w:val="0029558D"/>
    <w:rsid w:val="00297CC7"/>
    <w:rsid w:val="002A4E19"/>
    <w:rsid w:val="002A5041"/>
    <w:rsid w:val="002A6F9A"/>
    <w:rsid w:val="002A7459"/>
    <w:rsid w:val="002B0061"/>
    <w:rsid w:val="002B38DE"/>
    <w:rsid w:val="002B594F"/>
    <w:rsid w:val="002B6A05"/>
    <w:rsid w:val="002B74D3"/>
    <w:rsid w:val="002B7F25"/>
    <w:rsid w:val="002C2500"/>
    <w:rsid w:val="002C35FC"/>
    <w:rsid w:val="002C36AD"/>
    <w:rsid w:val="002C42BB"/>
    <w:rsid w:val="002C53A7"/>
    <w:rsid w:val="002C5C74"/>
    <w:rsid w:val="002D1D02"/>
    <w:rsid w:val="002D1F51"/>
    <w:rsid w:val="002D2017"/>
    <w:rsid w:val="002D41E4"/>
    <w:rsid w:val="002D48CE"/>
    <w:rsid w:val="002D6CC3"/>
    <w:rsid w:val="002D71C5"/>
    <w:rsid w:val="002D71E8"/>
    <w:rsid w:val="002E06A0"/>
    <w:rsid w:val="002E1C5E"/>
    <w:rsid w:val="002E1E72"/>
    <w:rsid w:val="002E2B75"/>
    <w:rsid w:val="002E37CB"/>
    <w:rsid w:val="002E683C"/>
    <w:rsid w:val="002F0FE1"/>
    <w:rsid w:val="002F110F"/>
    <w:rsid w:val="002F1CF5"/>
    <w:rsid w:val="002F396C"/>
    <w:rsid w:val="002F4E20"/>
    <w:rsid w:val="002F6B4D"/>
    <w:rsid w:val="002F7498"/>
    <w:rsid w:val="003038E2"/>
    <w:rsid w:val="00304A9E"/>
    <w:rsid w:val="0030531D"/>
    <w:rsid w:val="003054D2"/>
    <w:rsid w:val="00307E88"/>
    <w:rsid w:val="00312F23"/>
    <w:rsid w:val="0031483C"/>
    <w:rsid w:val="003166FB"/>
    <w:rsid w:val="0031723F"/>
    <w:rsid w:val="00320D58"/>
    <w:rsid w:val="00322BCE"/>
    <w:rsid w:val="00323585"/>
    <w:rsid w:val="00324370"/>
    <w:rsid w:val="00324CAA"/>
    <w:rsid w:val="00324D64"/>
    <w:rsid w:val="00325792"/>
    <w:rsid w:val="00332DBE"/>
    <w:rsid w:val="00334FC1"/>
    <w:rsid w:val="00335B7A"/>
    <w:rsid w:val="00337673"/>
    <w:rsid w:val="00340483"/>
    <w:rsid w:val="00342209"/>
    <w:rsid w:val="003432DD"/>
    <w:rsid w:val="00343638"/>
    <w:rsid w:val="00344F41"/>
    <w:rsid w:val="00351F7C"/>
    <w:rsid w:val="00352DB1"/>
    <w:rsid w:val="00355B4D"/>
    <w:rsid w:val="00360D4F"/>
    <w:rsid w:val="00360D8C"/>
    <w:rsid w:val="0036144D"/>
    <w:rsid w:val="00365E72"/>
    <w:rsid w:val="00366034"/>
    <w:rsid w:val="0037230F"/>
    <w:rsid w:val="00372599"/>
    <w:rsid w:val="00373A6C"/>
    <w:rsid w:val="00380A02"/>
    <w:rsid w:val="00380CE9"/>
    <w:rsid w:val="00380E2D"/>
    <w:rsid w:val="0038267D"/>
    <w:rsid w:val="00382A17"/>
    <w:rsid w:val="00383CAA"/>
    <w:rsid w:val="00384633"/>
    <w:rsid w:val="003856B7"/>
    <w:rsid w:val="00385D25"/>
    <w:rsid w:val="0038601C"/>
    <w:rsid w:val="003877B7"/>
    <w:rsid w:val="003940B9"/>
    <w:rsid w:val="00394C8D"/>
    <w:rsid w:val="00395E25"/>
    <w:rsid w:val="00397553"/>
    <w:rsid w:val="00397E25"/>
    <w:rsid w:val="003A4DBB"/>
    <w:rsid w:val="003A5028"/>
    <w:rsid w:val="003A52B6"/>
    <w:rsid w:val="003A59B0"/>
    <w:rsid w:val="003A7DCD"/>
    <w:rsid w:val="003B09AF"/>
    <w:rsid w:val="003B1246"/>
    <w:rsid w:val="003B14D3"/>
    <w:rsid w:val="003B54D8"/>
    <w:rsid w:val="003B5F8F"/>
    <w:rsid w:val="003C2BBE"/>
    <w:rsid w:val="003C3235"/>
    <w:rsid w:val="003C4CDF"/>
    <w:rsid w:val="003C5395"/>
    <w:rsid w:val="003C5D51"/>
    <w:rsid w:val="003D2CEC"/>
    <w:rsid w:val="003D3B15"/>
    <w:rsid w:val="003D473B"/>
    <w:rsid w:val="003D49C7"/>
    <w:rsid w:val="003D59E7"/>
    <w:rsid w:val="003D637E"/>
    <w:rsid w:val="003E1FB0"/>
    <w:rsid w:val="003E3362"/>
    <w:rsid w:val="003E5252"/>
    <w:rsid w:val="003E7F33"/>
    <w:rsid w:val="003F0EE4"/>
    <w:rsid w:val="003F0FCA"/>
    <w:rsid w:val="003F113D"/>
    <w:rsid w:val="003F3103"/>
    <w:rsid w:val="003F4F1E"/>
    <w:rsid w:val="003F56F3"/>
    <w:rsid w:val="003F660E"/>
    <w:rsid w:val="003F7D8B"/>
    <w:rsid w:val="0040065D"/>
    <w:rsid w:val="00400C14"/>
    <w:rsid w:val="004012A5"/>
    <w:rsid w:val="00403EB2"/>
    <w:rsid w:val="0040444C"/>
    <w:rsid w:val="00407AA8"/>
    <w:rsid w:val="00410729"/>
    <w:rsid w:val="00410A99"/>
    <w:rsid w:val="00412322"/>
    <w:rsid w:val="0041299C"/>
    <w:rsid w:val="00422917"/>
    <w:rsid w:val="0042311E"/>
    <w:rsid w:val="0042474D"/>
    <w:rsid w:val="00424A90"/>
    <w:rsid w:val="0042576C"/>
    <w:rsid w:val="00425A64"/>
    <w:rsid w:val="00425A7E"/>
    <w:rsid w:val="00425B2D"/>
    <w:rsid w:val="004328B3"/>
    <w:rsid w:val="00432FBC"/>
    <w:rsid w:val="00433137"/>
    <w:rsid w:val="004340CB"/>
    <w:rsid w:val="004344B3"/>
    <w:rsid w:val="00435629"/>
    <w:rsid w:val="00436B37"/>
    <w:rsid w:val="004420DD"/>
    <w:rsid w:val="00442397"/>
    <w:rsid w:val="00444C0E"/>
    <w:rsid w:val="00444C15"/>
    <w:rsid w:val="00445475"/>
    <w:rsid w:val="004458A2"/>
    <w:rsid w:val="00446A13"/>
    <w:rsid w:val="004540B4"/>
    <w:rsid w:val="00457F3D"/>
    <w:rsid w:val="00460837"/>
    <w:rsid w:val="00460999"/>
    <w:rsid w:val="0046179F"/>
    <w:rsid w:val="00464AB7"/>
    <w:rsid w:val="00464B01"/>
    <w:rsid w:val="00471135"/>
    <w:rsid w:val="00471981"/>
    <w:rsid w:val="00472D78"/>
    <w:rsid w:val="0047494A"/>
    <w:rsid w:val="004760A4"/>
    <w:rsid w:val="004764CF"/>
    <w:rsid w:val="004801DF"/>
    <w:rsid w:val="00482593"/>
    <w:rsid w:val="00483001"/>
    <w:rsid w:val="0048308F"/>
    <w:rsid w:val="004850A4"/>
    <w:rsid w:val="00487EE8"/>
    <w:rsid w:val="00491F53"/>
    <w:rsid w:val="004924E8"/>
    <w:rsid w:val="0049416E"/>
    <w:rsid w:val="00495072"/>
    <w:rsid w:val="00495D21"/>
    <w:rsid w:val="00495E3D"/>
    <w:rsid w:val="004A1AFF"/>
    <w:rsid w:val="004A29DB"/>
    <w:rsid w:val="004A2E05"/>
    <w:rsid w:val="004A2EF3"/>
    <w:rsid w:val="004A3854"/>
    <w:rsid w:val="004A50C1"/>
    <w:rsid w:val="004A6B63"/>
    <w:rsid w:val="004B0E26"/>
    <w:rsid w:val="004B1FF8"/>
    <w:rsid w:val="004B682E"/>
    <w:rsid w:val="004B699B"/>
    <w:rsid w:val="004B72B2"/>
    <w:rsid w:val="004C1362"/>
    <w:rsid w:val="004C3B4B"/>
    <w:rsid w:val="004C54F7"/>
    <w:rsid w:val="004D0712"/>
    <w:rsid w:val="004D157E"/>
    <w:rsid w:val="004D25B3"/>
    <w:rsid w:val="004D56F7"/>
    <w:rsid w:val="004D5825"/>
    <w:rsid w:val="004E0282"/>
    <w:rsid w:val="004E10D9"/>
    <w:rsid w:val="004E351D"/>
    <w:rsid w:val="004E39D1"/>
    <w:rsid w:val="004E5150"/>
    <w:rsid w:val="004F3B0A"/>
    <w:rsid w:val="004F6342"/>
    <w:rsid w:val="004F6974"/>
    <w:rsid w:val="004F7491"/>
    <w:rsid w:val="005036FB"/>
    <w:rsid w:val="00504958"/>
    <w:rsid w:val="005051B1"/>
    <w:rsid w:val="005062FA"/>
    <w:rsid w:val="00506DAD"/>
    <w:rsid w:val="00506DF0"/>
    <w:rsid w:val="00514C13"/>
    <w:rsid w:val="00516686"/>
    <w:rsid w:val="00520741"/>
    <w:rsid w:val="0052087E"/>
    <w:rsid w:val="005217FB"/>
    <w:rsid w:val="0052255B"/>
    <w:rsid w:val="00524083"/>
    <w:rsid w:val="005250A5"/>
    <w:rsid w:val="00526F7A"/>
    <w:rsid w:val="00531C7B"/>
    <w:rsid w:val="00531EA9"/>
    <w:rsid w:val="00532BA3"/>
    <w:rsid w:val="00536CB7"/>
    <w:rsid w:val="00537D43"/>
    <w:rsid w:val="00541AA5"/>
    <w:rsid w:val="0054201F"/>
    <w:rsid w:val="00544371"/>
    <w:rsid w:val="005445FB"/>
    <w:rsid w:val="00550323"/>
    <w:rsid w:val="00550384"/>
    <w:rsid w:val="0055055E"/>
    <w:rsid w:val="00550E66"/>
    <w:rsid w:val="005521DA"/>
    <w:rsid w:val="0055308C"/>
    <w:rsid w:val="00554653"/>
    <w:rsid w:val="005546B0"/>
    <w:rsid w:val="00554F4B"/>
    <w:rsid w:val="00555551"/>
    <w:rsid w:val="0056453F"/>
    <w:rsid w:val="00564B30"/>
    <w:rsid w:val="00565DF7"/>
    <w:rsid w:val="00570193"/>
    <w:rsid w:val="00571132"/>
    <w:rsid w:val="0057150C"/>
    <w:rsid w:val="00573355"/>
    <w:rsid w:val="005737FA"/>
    <w:rsid w:val="00573C4C"/>
    <w:rsid w:val="00580BAA"/>
    <w:rsid w:val="0058573E"/>
    <w:rsid w:val="00590720"/>
    <w:rsid w:val="00592E17"/>
    <w:rsid w:val="00594278"/>
    <w:rsid w:val="00596807"/>
    <w:rsid w:val="00596DCD"/>
    <w:rsid w:val="005A15DE"/>
    <w:rsid w:val="005A26DE"/>
    <w:rsid w:val="005A2D9F"/>
    <w:rsid w:val="005A4133"/>
    <w:rsid w:val="005A6FDD"/>
    <w:rsid w:val="005B0B52"/>
    <w:rsid w:val="005B2EBB"/>
    <w:rsid w:val="005B67C9"/>
    <w:rsid w:val="005C16E5"/>
    <w:rsid w:val="005C3637"/>
    <w:rsid w:val="005C4309"/>
    <w:rsid w:val="005C482A"/>
    <w:rsid w:val="005C5DDF"/>
    <w:rsid w:val="005C75A1"/>
    <w:rsid w:val="005D0A2F"/>
    <w:rsid w:val="005D131F"/>
    <w:rsid w:val="005D14AB"/>
    <w:rsid w:val="005D497E"/>
    <w:rsid w:val="005D59A1"/>
    <w:rsid w:val="005D68B5"/>
    <w:rsid w:val="005D69A5"/>
    <w:rsid w:val="005E0C56"/>
    <w:rsid w:val="005E3FE7"/>
    <w:rsid w:val="005E42A9"/>
    <w:rsid w:val="005E4560"/>
    <w:rsid w:val="005E6DF1"/>
    <w:rsid w:val="005F15BA"/>
    <w:rsid w:val="00602740"/>
    <w:rsid w:val="00602DA9"/>
    <w:rsid w:val="00611A4E"/>
    <w:rsid w:val="00613180"/>
    <w:rsid w:val="00613294"/>
    <w:rsid w:val="006140BC"/>
    <w:rsid w:val="00616461"/>
    <w:rsid w:val="00622FFA"/>
    <w:rsid w:val="0062416A"/>
    <w:rsid w:val="006246FB"/>
    <w:rsid w:val="006247B3"/>
    <w:rsid w:val="0062624F"/>
    <w:rsid w:val="006277C2"/>
    <w:rsid w:val="0063058C"/>
    <w:rsid w:val="00631734"/>
    <w:rsid w:val="00631B88"/>
    <w:rsid w:val="0063297B"/>
    <w:rsid w:val="00634257"/>
    <w:rsid w:val="00635537"/>
    <w:rsid w:val="00635DCE"/>
    <w:rsid w:val="0063619C"/>
    <w:rsid w:val="00636814"/>
    <w:rsid w:val="00641646"/>
    <w:rsid w:val="006465B5"/>
    <w:rsid w:val="00646811"/>
    <w:rsid w:val="00647B0E"/>
    <w:rsid w:val="00647E9A"/>
    <w:rsid w:val="0065061E"/>
    <w:rsid w:val="00651156"/>
    <w:rsid w:val="00651EA6"/>
    <w:rsid w:val="006528FF"/>
    <w:rsid w:val="00662E02"/>
    <w:rsid w:val="00666949"/>
    <w:rsid w:val="00666969"/>
    <w:rsid w:val="0067068E"/>
    <w:rsid w:val="00670A8F"/>
    <w:rsid w:val="00672ECE"/>
    <w:rsid w:val="00673C70"/>
    <w:rsid w:val="00675FAB"/>
    <w:rsid w:val="00677594"/>
    <w:rsid w:val="00681118"/>
    <w:rsid w:val="00681A42"/>
    <w:rsid w:val="0068258F"/>
    <w:rsid w:val="00683C0C"/>
    <w:rsid w:val="0068509D"/>
    <w:rsid w:val="006852F7"/>
    <w:rsid w:val="00685893"/>
    <w:rsid w:val="00686B81"/>
    <w:rsid w:val="00690D94"/>
    <w:rsid w:val="00692CA3"/>
    <w:rsid w:val="006A3360"/>
    <w:rsid w:val="006A3DEC"/>
    <w:rsid w:val="006A48D5"/>
    <w:rsid w:val="006B0C4A"/>
    <w:rsid w:val="006B13E4"/>
    <w:rsid w:val="006B36EE"/>
    <w:rsid w:val="006B7D4A"/>
    <w:rsid w:val="006C129F"/>
    <w:rsid w:val="006C16EA"/>
    <w:rsid w:val="006C2106"/>
    <w:rsid w:val="006C39F7"/>
    <w:rsid w:val="006C4B02"/>
    <w:rsid w:val="006C6A1F"/>
    <w:rsid w:val="006C7D8C"/>
    <w:rsid w:val="006D0051"/>
    <w:rsid w:val="006D0582"/>
    <w:rsid w:val="006D1B97"/>
    <w:rsid w:val="006D3396"/>
    <w:rsid w:val="006D3CD7"/>
    <w:rsid w:val="006D6905"/>
    <w:rsid w:val="006D6E31"/>
    <w:rsid w:val="006D76A9"/>
    <w:rsid w:val="006E135F"/>
    <w:rsid w:val="006E1870"/>
    <w:rsid w:val="006E188E"/>
    <w:rsid w:val="006E2E9B"/>
    <w:rsid w:val="006E3D51"/>
    <w:rsid w:val="006E6F0E"/>
    <w:rsid w:val="006F35A5"/>
    <w:rsid w:val="006F36D2"/>
    <w:rsid w:val="006F728F"/>
    <w:rsid w:val="007000A1"/>
    <w:rsid w:val="007018AB"/>
    <w:rsid w:val="00705BE3"/>
    <w:rsid w:val="007060C1"/>
    <w:rsid w:val="0071014D"/>
    <w:rsid w:val="007101BE"/>
    <w:rsid w:val="00711C0E"/>
    <w:rsid w:val="0071324E"/>
    <w:rsid w:val="007132C0"/>
    <w:rsid w:val="00713FBC"/>
    <w:rsid w:val="007141D5"/>
    <w:rsid w:val="00714FD4"/>
    <w:rsid w:val="0071525A"/>
    <w:rsid w:val="0071567B"/>
    <w:rsid w:val="00720A6C"/>
    <w:rsid w:val="00721397"/>
    <w:rsid w:val="00722E13"/>
    <w:rsid w:val="00723829"/>
    <w:rsid w:val="00730D8B"/>
    <w:rsid w:val="0073431D"/>
    <w:rsid w:val="007377C9"/>
    <w:rsid w:val="00741E1F"/>
    <w:rsid w:val="00742538"/>
    <w:rsid w:val="007448B9"/>
    <w:rsid w:val="0074651F"/>
    <w:rsid w:val="00753A10"/>
    <w:rsid w:val="00753DC2"/>
    <w:rsid w:val="00754231"/>
    <w:rsid w:val="00755626"/>
    <w:rsid w:val="00757E50"/>
    <w:rsid w:val="00760975"/>
    <w:rsid w:val="00762B79"/>
    <w:rsid w:val="007638B3"/>
    <w:rsid w:val="007646F4"/>
    <w:rsid w:val="00764DB6"/>
    <w:rsid w:val="00764FFE"/>
    <w:rsid w:val="00766314"/>
    <w:rsid w:val="007663B7"/>
    <w:rsid w:val="00766DA4"/>
    <w:rsid w:val="00772153"/>
    <w:rsid w:val="00772833"/>
    <w:rsid w:val="00773343"/>
    <w:rsid w:val="0077382B"/>
    <w:rsid w:val="0077688B"/>
    <w:rsid w:val="00777081"/>
    <w:rsid w:val="0077783A"/>
    <w:rsid w:val="00781C81"/>
    <w:rsid w:val="007835C8"/>
    <w:rsid w:val="007839B8"/>
    <w:rsid w:val="00784609"/>
    <w:rsid w:val="00785B7A"/>
    <w:rsid w:val="00786A0F"/>
    <w:rsid w:val="007876D2"/>
    <w:rsid w:val="00797723"/>
    <w:rsid w:val="00797D46"/>
    <w:rsid w:val="00797E55"/>
    <w:rsid w:val="007A058B"/>
    <w:rsid w:val="007A2CD1"/>
    <w:rsid w:val="007A3B2F"/>
    <w:rsid w:val="007A3DBA"/>
    <w:rsid w:val="007A4EA6"/>
    <w:rsid w:val="007A56BE"/>
    <w:rsid w:val="007A77A1"/>
    <w:rsid w:val="007B0CAE"/>
    <w:rsid w:val="007B102E"/>
    <w:rsid w:val="007B310C"/>
    <w:rsid w:val="007B3F03"/>
    <w:rsid w:val="007B4793"/>
    <w:rsid w:val="007B587A"/>
    <w:rsid w:val="007C17F7"/>
    <w:rsid w:val="007C3049"/>
    <w:rsid w:val="007C38C7"/>
    <w:rsid w:val="007C3FE9"/>
    <w:rsid w:val="007C4497"/>
    <w:rsid w:val="007C4E46"/>
    <w:rsid w:val="007C626E"/>
    <w:rsid w:val="007C6D92"/>
    <w:rsid w:val="007C71A5"/>
    <w:rsid w:val="007D002E"/>
    <w:rsid w:val="007D2A1B"/>
    <w:rsid w:val="007D6174"/>
    <w:rsid w:val="007D72D9"/>
    <w:rsid w:val="007D7509"/>
    <w:rsid w:val="007E07BB"/>
    <w:rsid w:val="007E2147"/>
    <w:rsid w:val="007E46C0"/>
    <w:rsid w:val="007E627C"/>
    <w:rsid w:val="007E7595"/>
    <w:rsid w:val="007F0854"/>
    <w:rsid w:val="007F196C"/>
    <w:rsid w:val="007F19E4"/>
    <w:rsid w:val="007F2EC7"/>
    <w:rsid w:val="007F30D6"/>
    <w:rsid w:val="007F3DD7"/>
    <w:rsid w:val="007F4ACC"/>
    <w:rsid w:val="00800D5E"/>
    <w:rsid w:val="008019B6"/>
    <w:rsid w:val="00803EA9"/>
    <w:rsid w:val="00805ABF"/>
    <w:rsid w:val="008070CE"/>
    <w:rsid w:val="00810767"/>
    <w:rsid w:val="00811C97"/>
    <w:rsid w:val="00811FCF"/>
    <w:rsid w:val="0081276B"/>
    <w:rsid w:val="00813DEB"/>
    <w:rsid w:val="0081635D"/>
    <w:rsid w:val="00817FFD"/>
    <w:rsid w:val="008234D4"/>
    <w:rsid w:val="00823923"/>
    <w:rsid w:val="00825AD6"/>
    <w:rsid w:val="00834EAF"/>
    <w:rsid w:val="00840C69"/>
    <w:rsid w:val="00841BAB"/>
    <w:rsid w:val="00844CB0"/>
    <w:rsid w:val="00853D4C"/>
    <w:rsid w:val="00854022"/>
    <w:rsid w:val="00854630"/>
    <w:rsid w:val="00854858"/>
    <w:rsid w:val="00856B30"/>
    <w:rsid w:val="0086082B"/>
    <w:rsid w:val="008614F3"/>
    <w:rsid w:val="0086160C"/>
    <w:rsid w:val="00863C9D"/>
    <w:rsid w:val="0086530B"/>
    <w:rsid w:val="00865547"/>
    <w:rsid w:val="00871225"/>
    <w:rsid w:val="0087570A"/>
    <w:rsid w:val="00875DD5"/>
    <w:rsid w:val="0088379F"/>
    <w:rsid w:val="0088565B"/>
    <w:rsid w:val="008869AD"/>
    <w:rsid w:val="00886B3B"/>
    <w:rsid w:val="00887031"/>
    <w:rsid w:val="00890DF6"/>
    <w:rsid w:val="0089164A"/>
    <w:rsid w:val="00892052"/>
    <w:rsid w:val="0089648F"/>
    <w:rsid w:val="00896E06"/>
    <w:rsid w:val="008A10FE"/>
    <w:rsid w:val="008A2C99"/>
    <w:rsid w:val="008A3DEF"/>
    <w:rsid w:val="008A44C4"/>
    <w:rsid w:val="008A4ADA"/>
    <w:rsid w:val="008A6C8A"/>
    <w:rsid w:val="008B0E14"/>
    <w:rsid w:val="008B17A3"/>
    <w:rsid w:val="008B180A"/>
    <w:rsid w:val="008B21D7"/>
    <w:rsid w:val="008B25A7"/>
    <w:rsid w:val="008B32F2"/>
    <w:rsid w:val="008B3AB8"/>
    <w:rsid w:val="008B40FA"/>
    <w:rsid w:val="008B6098"/>
    <w:rsid w:val="008B6D4B"/>
    <w:rsid w:val="008C0CF1"/>
    <w:rsid w:val="008C1233"/>
    <w:rsid w:val="008C1F5E"/>
    <w:rsid w:val="008C327A"/>
    <w:rsid w:val="008C41A7"/>
    <w:rsid w:val="008C4C8F"/>
    <w:rsid w:val="008C679E"/>
    <w:rsid w:val="008C71E8"/>
    <w:rsid w:val="008C7C3F"/>
    <w:rsid w:val="008D3C80"/>
    <w:rsid w:val="008D6B59"/>
    <w:rsid w:val="008D7603"/>
    <w:rsid w:val="008E04AD"/>
    <w:rsid w:val="008E0769"/>
    <w:rsid w:val="008E0A39"/>
    <w:rsid w:val="008E50B9"/>
    <w:rsid w:val="008E5843"/>
    <w:rsid w:val="008E5FF5"/>
    <w:rsid w:val="008E6185"/>
    <w:rsid w:val="008E7079"/>
    <w:rsid w:val="008F2949"/>
    <w:rsid w:val="008F41F0"/>
    <w:rsid w:val="008F5C25"/>
    <w:rsid w:val="008F5F8A"/>
    <w:rsid w:val="008F7518"/>
    <w:rsid w:val="00901112"/>
    <w:rsid w:val="009031ED"/>
    <w:rsid w:val="00903319"/>
    <w:rsid w:val="00911668"/>
    <w:rsid w:val="00911846"/>
    <w:rsid w:val="00917ECE"/>
    <w:rsid w:val="009230A1"/>
    <w:rsid w:val="009240F2"/>
    <w:rsid w:val="00924E74"/>
    <w:rsid w:val="009256E8"/>
    <w:rsid w:val="009261BE"/>
    <w:rsid w:val="00927B70"/>
    <w:rsid w:val="009322F9"/>
    <w:rsid w:val="009323E5"/>
    <w:rsid w:val="00932B72"/>
    <w:rsid w:val="00934016"/>
    <w:rsid w:val="00937B49"/>
    <w:rsid w:val="00937CCC"/>
    <w:rsid w:val="00942887"/>
    <w:rsid w:val="00943E22"/>
    <w:rsid w:val="009443F0"/>
    <w:rsid w:val="00944ABD"/>
    <w:rsid w:val="009467BB"/>
    <w:rsid w:val="00946F34"/>
    <w:rsid w:val="009475B5"/>
    <w:rsid w:val="0095067A"/>
    <w:rsid w:val="00953391"/>
    <w:rsid w:val="009603C4"/>
    <w:rsid w:val="00961517"/>
    <w:rsid w:val="00961B47"/>
    <w:rsid w:val="00963351"/>
    <w:rsid w:val="00965B28"/>
    <w:rsid w:val="009678BB"/>
    <w:rsid w:val="00972B8F"/>
    <w:rsid w:val="00975C82"/>
    <w:rsid w:val="00976816"/>
    <w:rsid w:val="00976AFD"/>
    <w:rsid w:val="00980219"/>
    <w:rsid w:val="00980A87"/>
    <w:rsid w:val="00981996"/>
    <w:rsid w:val="00982528"/>
    <w:rsid w:val="0098297F"/>
    <w:rsid w:val="00983CC3"/>
    <w:rsid w:val="00986A31"/>
    <w:rsid w:val="0098790E"/>
    <w:rsid w:val="00990804"/>
    <w:rsid w:val="00993870"/>
    <w:rsid w:val="00995E02"/>
    <w:rsid w:val="00996386"/>
    <w:rsid w:val="00997D71"/>
    <w:rsid w:val="009A0AB4"/>
    <w:rsid w:val="009A0ADD"/>
    <w:rsid w:val="009A0C7B"/>
    <w:rsid w:val="009A1EFE"/>
    <w:rsid w:val="009A23E0"/>
    <w:rsid w:val="009A32DF"/>
    <w:rsid w:val="009A61FE"/>
    <w:rsid w:val="009A7499"/>
    <w:rsid w:val="009B0EB7"/>
    <w:rsid w:val="009B2B3E"/>
    <w:rsid w:val="009B566A"/>
    <w:rsid w:val="009B7326"/>
    <w:rsid w:val="009C1BEA"/>
    <w:rsid w:val="009C1FB5"/>
    <w:rsid w:val="009C3CA0"/>
    <w:rsid w:val="009C50B5"/>
    <w:rsid w:val="009C64CB"/>
    <w:rsid w:val="009C69F2"/>
    <w:rsid w:val="009D4EDC"/>
    <w:rsid w:val="009E1CEA"/>
    <w:rsid w:val="009E7465"/>
    <w:rsid w:val="009F143F"/>
    <w:rsid w:val="009F1524"/>
    <w:rsid w:val="009F5206"/>
    <w:rsid w:val="00A00574"/>
    <w:rsid w:val="00A029B0"/>
    <w:rsid w:val="00A0418F"/>
    <w:rsid w:val="00A04589"/>
    <w:rsid w:val="00A04BD8"/>
    <w:rsid w:val="00A04D87"/>
    <w:rsid w:val="00A1000E"/>
    <w:rsid w:val="00A11A39"/>
    <w:rsid w:val="00A11C1C"/>
    <w:rsid w:val="00A11FA9"/>
    <w:rsid w:val="00A13B07"/>
    <w:rsid w:val="00A13D71"/>
    <w:rsid w:val="00A15DC8"/>
    <w:rsid w:val="00A1754C"/>
    <w:rsid w:val="00A214E0"/>
    <w:rsid w:val="00A221D5"/>
    <w:rsid w:val="00A2315C"/>
    <w:rsid w:val="00A23915"/>
    <w:rsid w:val="00A274E5"/>
    <w:rsid w:val="00A3593F"/>
    <w:rsid w:val="00A35EA3"/>
    <w:rsid w:val="00A362EB"/>
    <w:rsid w:val="00A36A57"/>
    <w:rsid w:val="00A36DCF"/>
    <w:rsid w:val="00A37CC7"/>
    <w:rsid w:val="00A40900"/>
    <w:rsid w:val="00A40A42"/>
    <w:rsid w:val="00A40E36"/>
    <w:rsid w:val="00A42E2A"/>
    <w:rsid w:val="00A45D20"/>
    <w:rsid w:val="00A50B0B"/>
    <w:rsid w:val="00A51243"/>
    <w:rsid w:val="00A51317"/>
    <w:rsid w:val="00A52FBA"/>
    <w:rsid w:val="00A5363A"/>
    <w:rsid w:val="00A54EBA"/>
    <w:rsid w:val="00A56B96"/>
    <w:rsid w:val="00A56D45"/>
    <w:rsid w:val="00A6055D"/>
    <w:rsid w:val="00A60819"/>
    <w:rsid w:val="00A60D51"/>
    <w:rsid w:val="00A702E1"/>
    <w:rsid w:val="00A72511"/>
    <w:rsid w:val="00A72F0C"/>
    <w:rsid w:val="00A7338D"/>
    <w:rsid w:val="00A750E3"/>
    <w:rsid w:val="00A75267"/>
    <w:rsid w:val="00A75788"/>
    <w:rsid w:val="00A77FB4"/>
    <w:rsid w:val="00A80691"/>
    <w:rsid w:val="00A813B3"/>
    <w:rsid w:val="00A87394"/>
    <w:rsid w:val="00A878DF"/>
    <w:rsid w:val="00A94E2C"/>
    <w:rsid w:val="00A95CEF"/>
    <w:rsid w:val="00A96927"/>
    <w:rsid w:val="00A96F1F"/>
    <w:rsid w:val="00AA2501"/>
    <w:rsid w:val="00AA4322"/>
    <w:rsid w:val="00AA50A7"/>
    <w:rsid w:val="00AA53C2"/>
    <w:rsid w:val="00AA6281"/>
    <w:rsid w:val="00AB006A"/>
    <w:rsid w:val="00AB0F4D"/>
    <w:rsid w:val="00AB2787"/>
    <w:rsid w:val="00AB4632"/>
    <w:rsid w:val="00AB499F"/>
    <w:rsid w:val="00AB51FE"/>
    <w:rsid w:val="00AB5737"/>
    <w:rsid w:val="00AC0954"/>
    <w:rsid w:val="00AC1521"/>
    <w:rsid w:val="00AC1F8A"/>
    <w:rsid w:val="00AC6C12"/>
    <w:rsid w:val="00AC6C63"/>
    <w:rsid w:val="00AC76AE"/>
    <w:rsid w:val="00AD102A"/>
    <w:rsid w:val="00AD1EAF"/>
    <w:rsid w:val="00AD2B23"/>
    <w:rsid w:val="00AD4300"/>
    <w:rsid w:val="00AD569C"/>
    <w:rsid w:val="00AD61D4"/>
    <w:rsid w:val="00AD6B9E"/>
    <w:rsid w:val="00AE16D7"/>
    <w:rsid w:val="00AE1DF3"/>
    <w:rsid w:val="00AE27A2"/>
    <w:rsid w:val="00AE4574"/>
    <w:rsid w:val="00AE46FB"/>
    <w:rsid w:val="00AE4E70"/>
    <w:rsid w:val="00AE654C"/>
    <w:rsid w:val="00AF006A"/>
    <w:rsid w:val="00AF0868"/>
    <w:rsid w:val="00AF1A92"/>
    <w:rsid w:val="00AF3899"/>
    <w:rsid w:val="00AF4B13"/>
    <w:rsid w:val="00AF6E52"/>
    <w:rsid w:val="00B010B2"/>
    <w:rsid w:val="00B01BF8"/>
    <w:rsid w:val="00B01D0B"/>
    <w:rsid w:val="00B04090"/>
    <w:rsid w:val="00B04C7B"/>
    <w:rsid w:val="00B06F4E"/>
    <w:rsid w:val="00B13539"/>
    <w:rsid w:val="00B14F9B"/>
    <w:rsid w:val="00B15112"/>
    <w:rsid w:val="00B1708F"/>
    <w:rsid w:val="00B17143"/>
    <w:rsid w:val="00B2160B"/>
    <w:rsid w:val="00B2297E"/>
    <w:rsid w:val="00B237BE"/>
    <w:rsid w:val="00B23A20"/>
    <w:rsid w:val="00B23D17"/>
    <w:rsid w:val="00B23F14"/>
    <w:rsid w:val="00B27AD1"/>
    <w:rsid w:val="00B34C88"/>
    <w:rsid w:val="00B41728"/>
    <w:rsid w:val="00B4648F"/>
    <w:rsid w:val="00B46703"/>
    <w:rsid w:val="00B5011E"/>
    <w:rsid w:val="00B55496"/>
    <w:rsid w:val="00B55765"/>
    <w:rsid w:val="00B62322"/>
    <w:rsid w:val="00B62C5D"/>
    <w:rsid w:val="00B63498"/>
    <w:rsid w:val="00B65820"/>
    <w:rsid w:val="00B66C1E"/>
    <w:rsid w:val="00B6748D"/>
    <w:rsid w:val="00B71B4D"/>
    <w:rsid w:val="00B744BF"/>
    <w:rsid w:val="00B74DCE"/>
    <w:rsid w:val="00B754CA"/>
    <w:rsid w:val="00B76028"/>
    <w:rsid w:val="00B82918"/>
    <w:rsid w:val="00B907D4"/>
    <w:rsid w:val="00B92A7A"/>
    <w:rsid w:val="00B950C0"/>
    <w:rsid w:val="00B9669A"/>
    <w:rsid w:val="00BA1ED8"/>
    <w:rsid w:val="00BA3C60"/>
    <w:rsid w:val="00BA3E49"/>
    <w:rsid w:val="00BA70B0"/>
    <w:rsid w:val="00BB027F"/>
    <w:rsid w:val="00BB0B9B"/>
    <w:rsid w:val="00BB1BAB"/>
    <w:rsid w:val="00BB3B36"/>
    <w:rsid w:val="00BB4D8E"/>
    <w:rsid w:val="00BB5FDB"/>
    <w:rsid w:val="00BC1622"/>
    <w:rsid w:val="00BC1DFC"/>
    <w:rsid w:val="00BC411C"/>
    <w:rsid w:val="00BC78B1"/>
    <w:rsid w:val="00BD1B86"/>
    <w:rsid w:val="00BD376F"/>
    <w:rsid w:val="00BD3776"/>
    <w:rsid w:val="00BD41F7"/>
    <w:rsid w:val="00BD74B7"/>
    <w:rsid w:val="00BF1661"/>
    <w:rsid w:val="00BF1E32"/>
    <w:rsid w:val="00BF3FF4"/>
    <w:rsid w:val="00C02682"/>
    <w:rsid w:val="00C0307D"/>
    <w:rsid w:val="00C0335F"/>
    <w:rsid w:val="00C05D92"/>
    <w:rsid w:val="00C10E71"/>
    <w:rsid w:val="00C1111D"/>
    <w:rsid w:val="00C11CB0"/>
    <w:rsid w:val="00C14903"/>
    <w:rsid w:val="00C21C29"/>
    <w:rsid w:val="00C24074"/>
    <w:rsid w:val="00C25355"/>
    <w:rsid w:val="00C27277"/>
    <w:rsid w:val="00C30FD0"/>
    <w:rsid w:val="00C32473"/>
    <w:rsid w:val="00C32EC8"/>
    <w:rsid w:val="00C3357A"/>
    <w:rsid w:val="00C33CAD"/>
    <w:rsid w:val="00C3579C"/>
    <w:rsid w:val="00C37543"/>
    <w:rsid w:val="00C405A3"/>
    <w:rsid w:val="00C45C5A"/>
    <w:rsid w:val="00C46E86"/>
    <w:rsid w:val="00C514A7"/>
    <w:rsid w:val="00C52778"/>
    <w:rsid w:val="00C543C1"/>
    <w:rsid w:val="00C575E7"/>
    <w:rsid w:val="00C623D3"/>
    <w:rsid w:val="00C62EFD"/>
    <w:rsid w:val="00C631AF"/>
    <w:rsid w:val="00C63A90"/>
    <w:rsid w:val="00C6700E"/>
    <w:rsid w:val="00C71D6E"/>
    <w:rsid w:val="00C7365B"/>
    <w:rsid w:val="00C74C4D"/>
    <w:rsid w:val="00C82110"/>
    <w:rsid w:val="00C8246C"/>
    <w:rsid w:val="00C84157"/>
    <w:rsid w:val="00C8606E"/>
    <w:rsid w:val="00C9128F"/>
    <w:rsid w:val="00C925FB"/>
    <w:rsid w:val="00C94CB3"/>
    <w:rsid w:val="00C95AEB"/>
    <w:rsid w:val="00C95B94"/>
    <w:rsid w:val="00C95F79"/>
    <w:rsid w:val="00C96177"/>
    <w:rsid w:val="00CA37B7"/>
    <w:rsid w:val="00CA3F76"/>
    <w:rsid w:val="00CA5CF6"/>
    <w:rsid w:val="00CB1B02"/>
    <w:rsid w:val="00CB303C"/>
    <w:rsid w:val="00CB723D"/>
    <w:rsid w:val="00CC1BA1"/>
    <w:rsid w:val="00CC1E06"/>
    <w:rsid w:val="00CC2D4D"/>
    <w:rsid w:val="00CC2FEB"/>
    <w:rsid w:val="00CC50EF"/>
    <w:rsid w:val="00CC528D"/>
    <w:rsid w:val="00CC6814"/>
    <w:rsid w:val="00CD1A42"/>
    <w:rsid w:val="00CD367D"/>
    <w:rsid w:val="00CD4953"/>
    <w:rsid w:val="00CD4F9F"/>
    <w:rsid w:val="00CD7FF2"/>
    <w:rsid w:val="00CE3F08"/>
    <w:rsid w:val="00CE4744"/>
    <w:rsid w:val="00CE5D54"/>
    <w:rsid w:val="00CF0BD5"/>
    <w:rsid w:val="00CF0CF8"/>
    <w:rsid w:val="00CF1FD2"/>
    <w:rsid w:val="00CF39A5"/>
    <w:rsid w:val="00CF692F"/>
    <w:rsid w:val="00D03025"/>
    <w:rsid w:val="00D042D7"/>
    <w:rsid w:val="00D0532B"/>
    <w:rsid w:val="00D075D9"/>
    <w:rsid w:val="00D11BA4"/>
    <w:rsid w:val="00D12CD1"/>
    <w:rsid w:val="00D134B2"/>
    <w:rsid w:val="00D13EC6"/>
    <w:rsid w:val="00D15CAB"/>
    <w:rsid w:val="00D21DA3"/>
    <w:rsid w:val="00D229D6"/>
    <w:rsid w:val="00D33B23"/>
    <w:rsid w:val="00D363DE"/>
    <w:rsid w:val="00D37D84"/>
    <w:rsid w:val="00D4260E"/>
    <w:rsid w:val="00D42B28"/>
    <w:rsid w:val="00D45664"/>
    <w:rsid w:val="00D50276"/>
    <w:rsid w:val="00D50DDE"/>
    <w:rsid w:val="00D5107B"/>
    <w:rsid w:val="00D51814"/>
    <w:rsid w:val="00D53997"/>
    <w:rsid w:val="00D5421E"/>
    <w:rsid w:val="00D55960"/>
    <w:rsid w:val="00D55AF0"/>
    <w:rsid w:val="00D57D10"/>
    <w:rsid w:val="00D60E63"/>
    <w:rsid w:val="00D6254B"/>
    <w:rsid w:val="00D632A6"/>
    <w:rsid w:val="00D669B6"/>
    <w:rsid w:val="00D674D2"/>
    <w:rsid w:val="00D71F32"/>
    <w:rsid w:val="00D74051"/>
    <w:rsid w:val="00D77389"/>
    <w:rsid w:val="00D80679"/>
    <w:rsid w:val="00D82525"/>
    <w:rsid w:val="00D83006"/>
    <w:rsid w:val="00D85D97"/>
    <w:rsid w:val="00D86275"/>
    <w:rsid w:val="00D879D2"/>
    <w:rsid w:val="00D9181C"/>
    <w:rsid w:val="00D940D3"/>
    <w:rsid w:val="00D95C43"/>
    <w:rsid w:val="00DA01AA"/>
    <w:rsid w:val="00DA15D8"/>
    <w:rsid w:val="00DA1E0B"/>
    <w:rsid w:val="00DA2D53"/>
    <w:rsid w:val="00DA6DED"/>
    <w:rsid w:val="00DB1B7B"/>
    <w:rsid w:val="00DB4BBE"/>
    <w:rsid w:val="00DB5E4E"/>
    <w:rsid w:val="00DB683B"/>
    <w:rsid w:val="00DC366F"/>
    <w:rsid w:val="00DC3F14"/>
    <w:rsid w:val="00DC5B55"/>
    <w:rsid w:val="00DC5DA9"/>
    <w:rsid w:val="00DC75EB"/>
    <w:rsid w:val="00DC796C"/>
    <w:rsid w:val="00DD06D2"/>
    <w:rsid w:val="00DD1CF5"/>
    <w:rsid w:val="00DD1FD7"/>
    <w:rsid w:val="00DD5637"/>
    <w:rsid w:val="00DD5829"/>
    <w:rsid w:val="00DD5F7C"/>
    <w:rsid w:val="00DE0AB9"/>
    <w:rsid w:val="00DE3A09"/>
    <w:rsid w:val="00DE4938"/>
    <w:rsid w:val="00DE6214"/>
    <w:rsid w:val="00DF0F4E"/>
    <w:rsid w:val="00DF1DCC"/>
    <w:rsid w:val="00DF42CE"/>
    <w:rsid w:val="00DF593D"/>
    <w:rsid w:val="00E0338E"/>
    <w:rsid w:val="00E046EF"/>
    <w:rsid w:val="00E048BA"/>
    <w:rsid w:val="00E11D5E"/>
    <w:rsid w:val="00E11E9F"/>
    <w:rsid w:val="00E12DE3"/>
    <w:rsid w:val="00E13EF4"/>
    <w:rsid w:val="00E156EB"/>
    <w:rsid w:val="00E16594"/>
    <w:rsid w:val="00E174B3"/>
    <w:rsid w:val="00E17500"/>
    <w:rsid w:val="00E17D33"/>
    <w:rsid w:val="00E210A7"/>
    <w:rsid w:val="00E227BF"/>
    <w:rsid w:val="00E22807"/>
    <w:rsid w:val="00E22A35"/>
    <w:rsid w:val="00E239B0"/>
    <w:rsid w:val="00E24289"/>
    <w:rsid w:val="00E30883"/>
    <w:rsid w:val="00E312EB"/>
    <w:rsid w:val="00E32CEE"/>
    <w:rsid w:val="00E3421F"/>
    <w:rsid w:val="00E367CC"/>
    <w:rsid w:val="00E36950"/>
    <w:rsid w:val="00E41E72"/>
    <w:rsid w:val="00E47FC3"/>
    <w:rsid w:val="00E50468"/>
    <w:rsid w:val="00E541D8"/>
    <w:rsid w:val="00E56ACD"/>
    <w:rsid w:val="00E57650"/>
    <w:rsid w:val="00E61DB3"/>
    <w:rsid w:val="00E646BD"/>
    <w:rsid w:val="00E65DD6"/>
    <w:rsid w:val="00E65F88"/>
    <w:rsid w:val="00E668A4"/>
    <w:rsid w:val="00E711DE"/>
    <w:rsid w:val="00E71372"/>
    <w:rsid w:val="00E71AAA"/>
    <w:rsid w:val="00E71FA1"/>
    <w:rsid w:val="00E746B2"/>
    <w:rsid w:val="00E75207"/>
    <w:rsid w:val="00E75893"/>
    <w:rsid w:val="00E7663C"/>
    <w:rsid w:val="00E76DAA"/>
    <w:rsid w:val="00E80D00"/>
    <w:rsid w:val="00E81594"/>
    <w:rsid w:val="00E827A5"/>
    <w:rsid w:val="00E8603D"/>
    <w:rsid w:val="00E86701"/>
    <w:rsid w:val="00E91BBA"/>
    <w:rsid w:val="00E93159"/>
    <w:rsid w:val="00E9646F"/>
    <w:rsid w:val="00E96712"/>
    <w:rsid w:val="00E96FA0"/>
    <w:rsid w:val="00EA0988"/>
    <w:rsid w:val="00EA5AC3"/>
    <w:rsid w:val="00EA6CAC"/>
    <w:rsid w:val="00EA6DDD"/>
    <w:rsid w:val="00EB12DF"/>
    <w:rsid w:val="00EB2957"/>
    <w:rsid w:val="00EB32AE"/>
    <w:rsid w:val="00EB45A2"/>
    <w:rsid w:val="00EB57DD"/>
    <w:rsid w:val="00EB5841"/>
    <w:rsid w:val="00EB5D7F"/>
    <w:rsid w:val="00EB5FDA"/>
    <w:rsid w:val="00EB73B4"/>
    <w:rsid w:val="00EB7D50"/>
    <w:rsid w:val="00EC021A"/>
    <w:rsid w:val="00EC07C0"/>
    <w:rsid w:val="00EC18BB"/>
    <w:rsid w:val="00EC4A5A"/>
    <w:rsid w:val="00EC5275"/>
    <w:rsid w:val="00ED148B"/>
    <w:rsid w:val="00ED2267"/>
    <w:rsid w:val="00ED236F"/>
    <w:rsid w:val="00ED3929"/>
    <w:rsid w:val="00ED5803"/>
    <w:rsid w:val="00ED6830"/>
    <w:rsid w:val="00EE2299"/>
    <w:rsid w:val="00EE29A9"/>
    <w:rsid w:val="00EE4973"/>
    <w:rsid w:val="00EE5DB3"/>
    <w:rsid w:val="00EE6566"/>
    <w:rsid w:val="00EE7EC7"/>
    <w:rsid w:val="00EE7ED7"/>
    <w:rsid w:val="00EF1E33"/>
    <w:rsid w:val="00EF1EC2"/>
    <w:rsid w:val="00EF6362"/>
    <w:rsid w:val="00F015D6"/>
    <w:rsid w:val="00F02814"/>
    <w:rsid w:val="00F03217"/>
    <w:rsid w:val="00F05A3A"/>
    <w:rsid w:val="00F11202"/>
    <w:rsid w:val="00F12419"/>
    <w:rsid w:val="00F12FFE"/>
    <w:rsid w:val="00F13657"/>
    <w:rsid w:val="00F13BE2"/>
    <w:rsid w:val="00F15088"/>
    <w:rsid w:val="00F16081"/>
    <w:rsid w:val="00F1698A"/>
    <w:rsid w:val="00F1711D"/>
    <w:rsid w:val="00F1755B"/>
    <w:rsid w:val="00F20E42"/>
    <w:rsid w:val="00F215A2"/>
    <w:rsid w:val="00F21DA0"/>
    <w:rsid w:val="00F24087"/>
    <w:rsid w:val="00F240D9"/>
    <w:rsid w:val="00F24AA7"/>
    <w:rsid w:val="00F26721"/>
    <w:rsid w:val="00F2723B"/>
    <w:rsid w:val="00F278F1"/>
    <w:rsid w:val="00F279C7"/>
    <w:rsid w:val="00F31DBB"/>
    <w:rsid w:val="00F31E85"/>
    <w:rsid w:val="00F33E5E"/>
    <w:rsid w:val="00F342C1"/>
    <w:rsid w:val="00F3454C"/>
    <w:rsid w:val="00F4090C"/>
    <w:rsid w:val="00F4162A"/>
    <w:rsid w:val="00F464A1"/>
    <w:rsid w:val="00F47657"/>
    <w:rsid w:val="00F51489"/>
    <w:rsid w:val="00F5316F"/>
    <w:rsid w:val="00F538F6"/>
    <w:rsid w:val="00F55B66"/>
    <w:rsid w:val="00F560DC"/>
    <w:rsid w:val="00F569B4"/>
    <w:rsid w:val="00F6038C"/>
    <w:rsid w:val="00F6092E"/>
    <w:rsid w:val="00F64298"/>
    <w:rsid w:val="00F65162"/>
    <w:rsid w:val="00F65372"/>
    <w:rsid w:val="00F65833"/>
    <w:rsid w:val="00F670B2"/>
    <w:rsid w:val="00F70A7F"/>
    <w:rsid w:val="00F712D5"/>
    <w:rsid w:val="00F76E65"/>
    <w:rsid w:val="00F77519"/>
    <w:rsid w:val="00F811AA"/>
    <w:rsid w:val="00F82CC0"/>
    <w:rsid w:val="00F82EF0"/>
    <w:rsid w:val="00F853AB"/>
    <w:rsid w:val="00F857AA"/>
    <w:rsid w:val="00F87F8E"/>
    <w:rsid w:val="00F9302B"/>
    <w:rsid w:val="00F93AFB"/>
    <w:rsid w:val="00F947AD"/>
    <w:rsid w:val="00F956A4"/>
    <w:rsid w:val="00F96E07"/>
    <w:rsid w:val="00FA100F"/>
    <w:rsid w:val="00FA3817"/>
    <w:rsid w:val="00FB0F22"/>
    <w:rsid w:val="00FB21FD"/>
    <w:rsid w:val="00FB5190"/>
    <w:rsid w:val="00FB540D"/>
    <w:rsid w:val="00FB70E5"/>
    <w:rsid w:val="00FC0032"/>
    <w:rsid w:val="00FC5062"/>
    <w:rsid w:val="00FC532B"/>
    <w:rsid w:val="00FC569C"/>
    <w:rsid w:val="00FD15FD"/>
    <w:rsid w:val="00FD5870"/>
    <w:rsid w:val="00FD5D57"/>
    <w:rsid w:val="00FD6568"/>
    <w:rsid w:val="00FD794E"/>
    <w:rsid w:val="00FE1798"/>
    <w:rsid w:val="00FE2961"/>
    <w:rsid w:val="00FE3EC1"/>
    <w:rsid w:val="00FE4BFD"/>
    <w:rsid w:val="00FE4FE0"/>
    <w:rsid w:val="00FE59E1"/>
    <w:rsid w:val="00FE68E8"/>
    <w:rsid w:val="00FE6C69"/>
    <w:rsid w:val="00FE7499"/>
    <w:rsid w:val="00FF4A62"/>
    <w:rsid w:val="00FF58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15:docId w15:val="{144F7120-E2D5-4FCE-8AA0-962E057A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9322F9"/>
    <w:pPr>
      <w:numPr>
        <w:numId w:val="7"/>
      </w:numPr>
      <w:outlineLvl w:val="0"/>
    </w:pPr>
    <w:rPr>
      <w:b/>
      <w:szCs w:val="72"/>
      <w:lang w:val="en-GB"/>
    </w:rPr>
  </w:style>
  <w:style w:type="paragraph" w:styleId="Heading2">
    <w:name w:val="heading 2"/>
    <w:basedOn w:val="Heading21"/>
    <w:next w:val="Normal"/>
    <w:link w:val="Heading2Char"/>
    <w:autoRedefine/>
    <w:qFormat/>
    <w:rsid w:val="00DB4BBE"/>
    <w:pPr>
      <w:numPr>
        <w:ilvl w:val="1"/>
        <w:numId w:val="7"/>
      </w:numPr>
      <w:tabs>
        <w:tab w:val="left" w:pos="284"/>
        <w:tab w:val="left" w:pos="993"/>
      </w:tabs>
      <w:outlineLvl w:val="1"/>
    </w:pPr>
    <w:rPr>
      <w:color w:val="193C68"/>
      <w:sz w:val="28"/>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9322F9"/>
    <w:rPr>
      <w:rFonts w:ascii="Arial" w:eastAsia="Times New Roman" w:hAnsi="Arial" w:cs="Arial"/>
      <w:b/>
      <w:noProof/>
      <w:color w:val="0090A3"/>
      <w:sz w:val="40"/>
      <w:szCs w:val="72"/>
      <w:lang w:val="en-GB" w:eastAsia="en-AU"/>
    </w:rPr>
  </w:style>
  <w:style w:type="character" w:customStyle="1" w:styleId="Heading2Char">
    <w:name w:val="Heading 2 Char"/>
    <w:basedOn w:val="DefaultParagraphFont"/>
    <w:link w:val="Heading2"/>
    <w:rsid w:val="00DB4BBE"/>
    <w:rPr>
      <w:rFonts w:ascii="Arial" w:eastAsia="Times New Roman" w:hAnsi="Arial" w:cs="Arial"/>
      <w:b/>
      <w:bCs/>
      <w:color w:val="193C68"/>
      <w:kern w:val="32"/>
      <w:sz w:val="28"/>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noProof/>
      <w:color w:val="0090A3"/>
      <w:kern w:val="32"/>
      <w:sz w:val="48"/>
      <w:szCs w:val="32"/>
      <w:lang w:eastAsia="en-AU"/>
    </w:rPr>
  </w:style>
  <w:style w:type="table" w:styleId="TableGrid">
    <w:name w:val="Table Grid"/>
    <w:basedOn w:val="TableNormal"/>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471135"/>
    <w:pPr>
      <w:tabs>
        <w:tab w:val="clear" w:pos="-3060"/>
        <w:tab w:val="clear" w:pos="-2340"/>
        <w:tab w:val="clear" w:pos="6300"/>
        <w:tab w:val="left" w:pos="440"/>
        <w:tab w:val="right" w:pos="9628"/>
      </w:tabs>
      <w:spacing w:after="100"/>
    </w:pPr>
    <w:rPr>
      <w:b/>
    </w:r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F464A1"/>
    <w:pPr>
      <w:tabs>
        <w:tab w:val="clear" w:pos="-3060"/>
        <w:tab w:val="clear" w:pos="-2340"/>
        <w:tab w:val="clear" w:pos="6300"/>
        <w:tab w:val="left" w:pos="1134"/>
        <w:tab w:val="right" w:pos="9638"/>
      </w:tabs>
      <w:spacing w:after="100"/>
      <w:ind w:left="1134" w:hanging="708"/>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BodyText">
    <w:name w:val="Body Text"/>
    <w:basedOn w:val="Normal"/>
    <w:link w:val="BodyTextChar"/>
    <w:rsid w:val="0071525A"/>
    <w:pPr>
      <w:widowControl w:val="0"/>
      <w:tabs>
        <w:tab w:val="clear" w:pos="-3060"/>
        <w:tab w:val="clear" w:pos="-2340"/>
        <w:tab w:val="clear" w:pos="6300"/>
      </w:tabs>
      <w:suppressAutoHyphens w:val="0"/>
      <w:autoSpaceDE w:val="0"/>
      <w:autoSpaceDN w:val="0"/>
      <w:adjustRightInd w:val="0"/>
      <w:spacing w:after="0" w:line="274" w:lineRule="exact"/>
      <w:jc w:val="both"/>
    </w:pPr>
    <w:rPr>
      <w:rFonts w:ascii="Times New Roman" w:hAnsi="Times New Roman" w:cs="Times New Roman"/>
      <w:noProof w:val="0"/>
      <w:color w:val="auto"/>
      <w:lang w:val="en-US" w:eastAsia="en-US"/>
    </w:rPr>
  </w:style>
  <w:style w:type="character" w:customStyle="1" w:styleId="BodyTextChar">
    <w:name w:val="Body Text Char"/>
    <w:basedOn w:val="DefaultParagraphFont"/>
    <w:link w:val="BodyText"/>
    <w:rsid w:val="0071525A"/>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E174B3"/>
    <w:rPr>
      <w:color w:val="605E5C"/>
      <w:shd w:val="clear" w:color="auto" w:fill="E1DFDD"/>
    </w:rPr>
  </w:style>
  <w:style w:type="paragraph" w:styleId="Revision">
    <w:name w:val="Revision"/>
    <w:hidden/>
    <w:uiPriority w:val="99"/>
    <w:semiHidden/>
    <w:rsid w:val="009A23E0"/>
    <w:pPr>
      <w:spacing w:after="0" w:line="240" w:lineRule="auto"/>
    </w:pPr>
    <w:rPr>
      <w:rFonts w:ascii="Arial" w:eastAsia="Times New Roman" w:hAnsi="Arial" w:cs="Arial"/>
      <w:noProof/>
      <w:color w:val="000000" w:themeColor="text1"/>
      <w:lang w:eastAsia="en-AU"/>
    </w:rPr>
  </w:style>
  <w:style w:type="paragraph" w:customStyle="1" w:styleId="ICListNumber1">
    <w:name w:val="IC List Number 1"/>
    <w:next w:val="ICListNumber2"/>
    <w:qFormat/>
    <w:rsid w:val="0088565B"/>
    <w:pPr>
      <w:keepNext/>
      <w:numPr>
        <w:numId w:val="32"/>
      </w:numPr>
      <w:spacing w:before="240" w:after="0" w:line="240" w:lineRule="auto"/>
      <w:outlineLvl w:val="2"/>
    </w:pPr>
    <w:rPr>
      <w:rFonts w:ascii="Arial Bold" w:eastAsia="Calibri" w:hAnsi="Arial Bold" w:cs="Arial"/>
      <w:b/>
      <w:caps/>
      <w:lang w:val="en-NZ"/>
    </w:rPr>
  </w:style>
  <w:style w:type="paragraph" w:customStyle="1" w:styleId="ICListNumber2">
    <w:name w:val="IC List Number 2"/>
    <w:qFormat/>
    <w:rsid w:val="0088565B"/>
    <w:pPr>
      <w:numPr>
        <w:ilvl w:val="1"/>
        <w:numId w:val="32"/>
      </w:numPr>
      <w:spacing w:before="240" w:after="0" w:line="240" w:lineRule="auto"/>
      <w:outlineLvl w:val="3"/>
    </w:pPr>
    <w:rPr>
      <w:rFonts w:ascii="Arial" w:eastAsia="Calibri" w:hAnsi="Arial" w:cs="Arial"/>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phillip.vic.gov.au/council-services/rates-and-valuations/rates-concessions-and-hardship-relie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4" ma:contentTypeDescription="Create a new document." ma:contentTypeScope="" ma:versionID="4b45f826fbc941c0cbe80d883eddea33">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537a3e8558570c252f5fc7b7b49fff68"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B236-B674-400B-B366-124C626A2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54438-961A-4817-BE69-C23453D14FCA}">
  <ds:schemaRefs>
    <ds:schemaRef ds:uri="http://schemas.microsoft.com/sharepoint/v3/contenttype/forms"/>
  </ds:schemaRefs>
</ds:datastoreItem>
</file>

<file path=customXml/itemProps3.xml><?xml version="1.0" encoding="utf-8"?>
<ds:datastoreItem xmlns:ds="http://schemas.openxmlformats.org/officeDocument/2006/customXml" ds:itemID="{4E1AFCEB-CC3D-4CBA-A8ED-1AC77788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3C821-C81D-43E1-8EC8-248F51E9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6781</Words>
  <Characters>36893</Characters>
  <Application>Microsoft Office Word</Application>
  <DocSecurity>0</DocSecurity>
  <Lines>696</Lines>
  <Paragraphs>408</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43266</CharactersWithSpaces>
  <SharedDoc>false</SharedDoc>
  <HLinks>
    <vt:vector size="216" baseType="variant">
      <vt:variant>
        <vt:i4>8257585</vt:i4>
      </vt:variant>
      <vt:variant>
        <vt:i4>213</vt:i4>
      </vt:variant>
      <vt:variant>
        <vt:i4>0</vt:i4>
      </vt:variant>
      <vt:variant>
        <vt:i4>5</vt:i4>
      </vt:variant>
      <vt:variant>
        <vt:lpwstr>https://www.portphillip.vic.gov.au/council-services/rates-and-valuations/rates-concessions-and-hardship-relief</vt:lpwstr>
      </vt:variant>
      <vt:variant>
        <vt:lpwstr/>
      </vt:variant>
      <vt:variant>
        <vt:i4>1376318</vt:i4>
      </vt:variant>
      <vt:variant>
        <vt:i4>206</vt:i4>
      </vt:variant>
      <vt:variant>
        <vt:i4>0</vt:i4>
      </vt:variant>
      <vt:variant>
        <vt:i4>5</vt:i4>
      </vt:variant>
      <vt:variant>
        <vt:lpwstr/>
      </vt:variant>
      <vt:variant>
        <vt:lpwstr>_Toc101366870</vt:lpwstr>
      </vt:variant>
      <vt:variant>
        <vt:i4>1310782</vt:i4>
      </vt:variant>
      <vt:variant>
        <vt:i4>200</vt:i4>
      </vt:variant>
      <vt:variant>
        <vt:i4>0</vt:i4>
      </vt:variant>
      <vt:variant>
        <vt:i4>5</vt:i4>
      </vt:variant>
      <vt:variant>
        <vt:lpwstr/>
      </vt:variant>
      <vt:variant>
        <vt:lpwstr>_Toc101366869</vt:lpwstr>
      </vt:variant>
      <vt:variant>
        <vt:i4>1310782</vt:i4>
      </vt:variant>
      <vt:variant>
        <vt:i4>194</vt:i4>
      </vt:variant>
      <vt:variant>
        <vt:i4>0</vt:i4>
      </vt:variant>
      <vt:variant>
        <vt:i4>5</vt:i4>
      </vt:variant>
      <vt:variant>
        <vt:lpwstr/>
      </vt:variant>
      <vt:variant>
        <vt:lpwstr>_Toc101366868</vt:lpwstr>
      </vt:variant>
      <vt:variant>
        <vt:i4>1310782</vt:i4>
      </vt:variant>
      <vt:variant>
        <vt:i4>188</vt:i4>
      </vt:variant>
      <vt:variant>
        <vt:i4>0</vt:i4>
      </vt:variant>
      <vt:variant>
        <vt:i4>5</vt:i4>
      </vt:variant>
      <vt:variant>
        <vt:lpwstr/>
      </vt:variant>
      <vt:variant>
        <vt:lpwstr>_Toc101366867</vt:lpwstr>
      </vt:variant>
      <vt:variant>
        <vt:i4>1310782</vt:i4>
      </vt:variant>
      <vt:variant>
        <vt:i4>182</vt:i4>
      </vt:variant>
      <vt:variant>
        <vt:i4>0</vt:i4>
      </vt:variant>
      <vt:variant>
        <vt:i4>5</vt:i4>
      </vt:variant>
      <vt:variant>
        <vt:lpwstr/>
      </vt:variant>
      <vt:variant>
        <vt:lpwstr>_Toc101366866</vt:lpwstr>
      </vt:variant>
      <vt:variant>
        <vt:i4>1310782</vt:i4>
      </vt:variant>
      <vt:variant>
        <vt:i4>176</vt:i4>
      </vt:variant>
      <vt:variant>
        <vt:i4>0</vt:i4>
      </vt:variant>
      <vt:variant>
        <vt:i4>5</vt:i4>
      </vt:variant>
      <vt:variant>
        <vt:lpwstr/>
      </vt:variant>
      <vt:variant>
        <vt:lpwstr>_Toc101366865</vt:lpwstr>
      </vt:variant>
      <vt:variant>
        <vt:i4>1310782</vt:i4>
      </vt:variant>
      <vt:variant>
        <vt:i4>170</vt:i4>
      </vt:variant>
      <vt:variant>
        <vt:i4>0</vt:i4>
      </vt:variant>
      <vt:variant>
        <vt:i4>5</vt:i4>
      </vt:variant>
      <vt:variant>
        <vt:lpwstr/>
      </vt:variant>
      <vt:variant>
        <vt:lpwstr>_Toc101366864</vt:lpwstr>
      </vt:variant>
      <vt:variant>
        <vt:i4>1310782</vt:i4>
      </vt:variant>
      <vt:variant>
        <vt:i4>164</vt:i4>
      </vt:variant>
      <vt:variant>
        <vt:i4>0</vt:i4>
      </vt:variant>
      <vt:variant>
        <vt:i4>5</vt:i4>
      </vt:variant>
      <vt:variant>
        <vt:lpwstr/>
      </vt:variant>
      <vt:variant>
        <vt:lpwstr>_Toc101366863</vt:lpwstr>
      </vt:variant>
      <vt:variant>
        <vt:i4>1310782</vt:i4>
      </vt:variant>
      <vt:variant>
        <vt:i4>158</vt:i4>
      </vt:variant>
      <vt:variant>
        <vt:i4>0</vt:i4>
      </vt:variant>
      <vt:variant>
        <vt:i4>5</vt:i4>
      </vt:variant>
      <vt:variant>
        <vt:lpwstr/>
      </vt:variant>
      <vt:variant>
        <vt:lpwstr>_Toc101366862</vt:lpwstr>
      </vt:variant>
      <vt:variant>
        <vt:i4>1310782</vt:i4>
      </vt:variant>
      <vt:variant>
        <vt:i4>152</vt:i4>
      </vt:variant>
      <vt:variant>
        <vt:i4>0</vt:i4>
      </vt:variant>
      <vt:variant>
        <vt:i4>5</vt:i4>
      </vt:variant>
      <vt:variant>
        <vt:lpwstr/>
      </vt:variant>
      <vt:variant>
        <vt:lpwstr>_Toc101366861</vt:lpwstr>
      </vt:variant>
      <vt:variant>
        <vt:i4>1310782</vt:i4>
      </vt:variant>
      <vt:variant>
        <vt:i4>146</vt:i4>
      </vt:variant>
      <vt:variant>
        <vt:i4>0</vt:i4>
      </vt:variant>
      <vt:variant>
        <vt:i4>5</vt:i4>
      </vt:variant>
      <vt:variant>
        <vt:lpwstr/>
      </vt:variant>
      <vt:variant>
        <vt:lpwstr>_Toc101366860</vt:lpwstr>
      </vt:variant>
      <vt:variant>
        <vt:i4>1507390</vt:i4>
      </vt:variant>
      <vt:variant>
        <vt:i4>140</vt:i4>
      </vt:variant>
      <vt:variant>
        <vt:i4>0</vt:i4>
      </vt:variant>
      <vt:variant>
        <vt:i4>5</vt:i4>
      </vt:variant>
      <vt:variant>
        <vt:lpwstr/>
      </vt:variant>
      <vt:variant>
        <vt:lpwstr>_Toc101366858</vt:lpwstr>
      </vt:variant>
      <vt:variant>
        <vt:i4>1507390</vt:i4>
      </vt:variant>
      <vt:variant>
        <vt:i4>134</vt:i4>
      </vt:variant>
      <vt:variant>
        <vt:i4>0</vt:i4>
      </vt:variant>
      <vt:variant>
        <vt:i4>5</vt:i4>
      </vt:variant>
      <vt:variant>
        <vt:lpwstr/>
      </vt:variant>
      <vt:variant>
        <vt:lpwstr>_Toc101366856</vt:lpwstr>
      </vt:variant>
      <vt:variant>
        <vt:i4>1507390</vt:i4>
      </vt:variant>
      <vt:variant>
        <vt:i4>128</vt:i4>
      </vt:variant>
      <vt:variant>
        <vt:i4>0</vt:i4>
      </vt:variant>
      <vt:variant>
        <vt:i4>5</vt:i4>
      </vt:variant>
      <vt:variant>
        <vt:lpwstr/>
      </vt:variant>
      <vt:variant>
        <vt:lpwstr>_Toc101366855</vt:lpwstr>
      </vt:variant>
      <vt:variant>
        <vt:i4>1507390</vt:i4>
      </vt:variant>
      <vt:variant>
        <vt:i4>122</vt:i4>
      </vt:variant>
      <vt:variant>
        <vt:i4>0</vt:i4>
      </vt:variant>
      <vt:variant>
        <vt:i4>5</vt:i4>
      </vt:variant>
      <vt:variant>
        <vt:lpwstr/>
      </vt:variant>
      <vt:variant>
        <vt:lpwstr>_Toc101366854</vt:lpwstr>
      </vt:variant>
      <vt:variant>
        <vt:i4>1507390</vt:i4>
      </vt:variant>
      <vt:variant>
        <vt:i4>116</vt:i4>
      </vt:variant>
      <vt:variant>
        <vt:i4>0</vt:i4>
      </vt:variant>
      <vt:variant>
        <vt:i4>5</vt:i4>
      </vt:variant>
      <vt:variant>
        <vt:lpwstr/>
      </vt:variant>
      <vt:variant>
        <vt:lpwstr>_Toc101366852</vt:lpwstr>
      </vt:variant>
      <vt:variant>
        <vt:i4>1507390</vt:i4>
      </vt:variant>
      <vt:variant>
        <vt:i4>110</vt:i4>
      </vt:variant>
      <vt:variant>
        <vt:i4>0</vt:i4>
      </vt:variant>
      <vt:variant>
        <vt:i4>5</vt:i4>
      </vt:variant>
      <vt:variant>
        <vt:lpwstr/>
      </vt:variant>
      <vt:variant>
        <vt:lpwstr>_Toc101366850</vt:lpwstr>
      </vt:variant>
      <vt:variant>
        <vt:i4>1441854</vt:i4>
      </vt:variant>
      <vt:variant>
        <vt:i4>104</vt:i4>
      </vt:variant>
      <vt:variant>
        <vt:i4>0</vt:i4>
      </vt:variant>
      <vt:variant>
        <vt:i4>5</vt:i4>
      </vt:variant>
      <vt:variant>
        <vt:lpwstr/>
      </vt:variant>
      <vt:variant>
        <vt:lpwstr>_Toc101366849</vt:lpwstr>
      </vt:variant>
      <vt:variant>
        <vt:i4>1441854</vt:i4>
      </vt:variant>
      <vt:variant>
        <vt:i4>98</vt:i4>
      </vt:variant>
      <vt:variant>
        <vt:i4>0</vt:i4>
      </vt:variant>
      <vt:variant>
        <vt:i4>5</vt:i4>
      </vt:variant>
      <vt:variant>
        <vt:lpwstr/>
      </vt:variant>
      <vt:variant>
        <vt:lpwstr>_Toc101366848</vt:lpwstr>
      </vt:variant>
      <vt:variant>
        <vt:i4>1441854</vt:i4>
      </vt:variant>
      <vt:variant>
        <vt:i4>92</vt:i4>
      </vt:variant>
      <vt:variant>
        <vt:i4>0</vt:i4>
      </vt:variant>
      <vt:variant>
        <vt:i4>5</vt:i4>
      </vt:variant>
      <vt:variant>
        <vt:lpwstr/>
      </vt:variant>
      <vt:variant>
        <vt:lpwstr>_Toc101366846</vt:lpwstr>
      </vt:variant>
      <vt:variant>
        <vt:i4>1441854</vt:i4>
      </vt:variant>
      <vt:variant>
        <vt:i4>86</vt:i4>
      </vt:variant>
      <vt:variant>
        <vt:i4>0</vt:i4>
      </vt:variant>
      <vt:variant>
        <vt:i4>5</vt:i4>
      </vt:variant>
      <vt:variant>
        <vt:lpwstr/>
      </vt:variant>
      <vt:variant>
        <vt:lpwstr>_Toc101366845</vt:lpwstr>
      </vt:variant>
      <vt:variant>
        <vt:i4>1441854</vt:i4>
      </vt:variant>
      <vt:variant>
        <vt:i4>80</vt:i4>
      </vt:variant>
      <vt:variant>
        <vt:i4>0</vt:i4>
      </vt:variant>
      <vt:variant>
        <vt:i4>5</vt:i4>
      </vt:variant>
      <vt:variant>
        <vt:lpwstr/>
      </vt:variant>
      <vt:variant>
        <vt:lpwstr>_Toc101366844</vt:lpwstr>
      </vt:variant>
      <vt:variant>
        <vt:i4>1441854</vt:i4>
      </vt:variant>
      <vt:variant>
        <vt:i4>74</vt:i4>
      </vt:variant>
      <vt:variant>
        <vt:i4>0</vt:i4>
      </vt:variant>
      <vt:variant>
        <vt:i4>5</vt:i4>
      </vt:variant>
      <vt:variant>
        <vt:lpwstr/>
      </vt:variant>
      <vt:variant>
        <vt:lpwstr>_Toc101366843</vt:lpwstr>
      </vt:variant>
      <vt:variant>
        <vt:i4>1441854</vt:i4>
      </vt:variant>
      <vt:variant>
        <vt:i4>68</vt:i4>
      </vt:variant>
      <vt:variant>
        <vt:i4>0</vt:i4>
      </vt:variant>
      <vt:variant>
        <vt:i4>5</vt:i4>
      </vt:variant>
      <vt:variant>
        <vt:lpwstr/>
      </vt:variant>
      <vt:variant>
        <vt:lpwstr>_Toc101366842</vt:lpwstr>
      </vt:variant>
      <vt:variant>
        <vt:i4>1441854</vt:i4>
      </vt:variant>
      <vt:variant>
        <vt:i4>62</vt:i4>
      </vt:variant>
      <vt:variant>
        <vt:i4>0</vt:i4>
      </vt:variant>
      <vt:variant>
        <vt:i4>5</vt:i4>
      </vt:variant>
      <vt:variant>
        <vt:lpwstr/>
      </vt:variant>
      <vt:variant>
        <vt:lpwstr>_Toc101366841</vt:lpwstr>
      </vt:variant>
      <vt:variant>
        <vt:i4>1441854</vt:i4>
      </vt:variant>
      <vt:variant>
        <vt:i4>56</vt:i4>
      </vt:variant>
      <vt:variant>
        <vt:i4>0</vt:i4>
      </vt:variant>
      <vt:variant>
        <vt:i4>5</vt:i4>
      </vt:variant>
      <vt:variant>
        <vt:lpwstr/>
      </vt:variant>
      <vt:variant>
        <vt:lpwstr>_Toc101366840</vt:lpwstr>
      </vt:variant>
      <vt:variant>
        <vt:i4>1114174</vt:i4>
      </vt:variant>
      <vt:variant>
        <vt:i4>50</vt:i4>
      </vt:variant>
      <vt:variant>
        <vt:i4>0</vt:i4>
      </vt:variant>
      <vt:variant>
        <vt:i4>5</vt:i4>
      </vt:variant>
      <vt:variant>
        <vt:lpwstr/>
      </vt:variant>
      <vt:variant>
        <vt:lpwstr>_Toc101366839</vt:lpwstr>
      </vt:variant>
      <vt:variant>
        <vt:i4>1114174</vt:i4>
      </vt:variant>
      <vt:variant>
        <vt:i4>44</vt:i4>
      </vt:variant>
      <vt:variant>
        <vt:i4>0</vt:i4>
      </vt:variant>
      <vt:variant>
        <vt:i4>5</vt:i4>
      </vt:variant>
      <vt:variant>
        <vt:lpwstr/>
      </vt:variant>
      <vt:variant>
        <vt:lpwstr>_Toc101366838</vt:lpwstr>
      </vt:variant>
      <vt:variant>
        <vt:i4>1114174</vt:i4>
      </vt:variant>
      <vt:variant>
        <vt:i4>38</vt:i4>
      </vt:variant>
      <vt:variant>
        <vt:i4>0</vt:i4>
      </vt:variant>
      <vt:variant>
        <vt:i4>5</vt:i4>
      </vt:variant>
      <vt:variant>
        <vt:lpwstr/>
      </vt:variant>
      <vt:variant>
        <vt:lpwstr>_Toc101366837</vt:lpwstr>
      </vt:variant>
      <vt:variant>
        <vt:i4>1114174</vt:i4>
      </vt:variant>
      <vt:variant>
        <vt:i4>32</vt:i4>
      </vt:variant>
      <vt:variant>
        <vt:i4>0</vt:i4>
      </vt:variant>
      <vt:variant>
        <vt:i4>5</vt:i4>
      </vt:variant>
      <vt:variant>
        <vt:lpwstr/>
      </vt:variant>
      <vt:variant>
        <vt:lpwstr>_Toc101366836</vt:lpwstr>
      </vt:variant>
      <vt:variant>
        <vt:i4>1769521</vt:i4>
      </vt:variant>
      <vt:variant>
        <vt:i4>26</vt:i4>
      </vt:variant>
      <vt:variant>
        <vt:i4>0</vt:i4>
      </vt:variant>
      <vt:variant>
        <vt:i4>5</vt:i4>
      </vt:variant>
      <vt:variant>
        <vt:lpwstr/>
      </vt:variant>
      <vt:variant>
        <vt:lpwstr>_Toc101366792</vt:lpwstr>
      </vt:variant>
      <vt:variant>
        <vt:i4>1376305</vt:i4>
      </vt:variant>
      <vt:variant>
        <vt:i4>20</vt:i4>
      </vt:variant>
      <vt:variant>
        <vt:i4>0</vt:i4>
      </vt:variant>
      <vt:variant>
        <vt:i4>5</vt:i4>
      </vt:variant>
      <vt:variant>
        <vt:lpwstr/>
      </vt:variant>
      <vt:variant>
        <vt:lpwstr>_Toc101366770</vt:lpwstr>
      </vt:variant>
      <vt:variant>
        <vt:i4>1310769</vt:i4>
      </vt:variant>
      <vt:variant>
        <vt:i4>14</vt:i4>
      </vt:variant>
      <vt:variant>
        <vt:i4>0</vt:i4>
      </vt:variant>
      <vt:variant>
        <vt:i4>5</vt:i4>
      </vt:variant>
      <vt:variant>
        <vt:lpwstr/>
      </vt:variant>
      <vt:variant>
        <vt:lpwstr>_Toc101366769</vt:lpwstr>
      </vt:variant>
      <vt:variant>
        <vt:i4>1310769</vt:i4>
      </vt:variant>
      <vt:variant>
        <vt:i4>8</vt:i4>
      </vt:variant>
      <vt:variant>
        <vt:i4>0</vt:i4>
      </vt:variant>
      <vt:variant>
        <vt:i4>5</vt:i4>
      </vt:variant>
      <vt:variant>
        <vt:lpwstr/>
      </vt:variant>
      <vt:variant>
        <vt:lpwstr>_Toc101366767</vt:lpwstr>
      </vt:variant>
      <vt:variant>
        <vt:i4>1310769</vt:i4>
      </vt:variant>
      <vt:variant>
        <vt:i4>2</vt:i4>
      </vt:variant>
      <vt:variant>
        <vt:i4>0</vt:i4>
      </vt:variant>
      <vt:variant>
        <vt:i4>5</vt:i4>
      </vt:variant>
      <vt:variant>
        <vt:lpwstr/>
      </vt:variant>
      <vt:variant>
        <vt:lpwstr>_Toc101366766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pliu</cp:lastModifiedBy>
  <cp:revision>2</cp:revision>
  <cp:lastPrinted>2018-05-30T17:25:00Z</cp:lastPrinted>
  <dcterms:created xsi:type="dcterms:W3CDTF">2022-04-21T02:14:00Z</dcterms:created>
  <dcterms:modified xsi:type="dcterms:W3CDTF">2022-04-21T02:14:00Z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