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046B" w14:textId="167050CB" w:rsidR="008D714A" w:rsidRDefault="008D714A" w:rsidP="004F4160">
      <w:pPr>
        <w:pStyle w:val="Heading3"/>
      </w:pPr>
      <w:r>
        <w:t xml:space="preserve">Review of Council Plan </w:t>
      </w:r>
      <w:r w:rsidR="00887678">
        <w:t xml:space="preserve">2021-31 Year 2 </w:t>
      </w:r>
      <w:bookmarkStart w:id="0" w:name="_GoBack"/>
      <w:bookmarkEnd w:id="0"/>
      <w:r>
        <w:t>Summary</w:t>
      </w:r>
    </w:p>
    <w:p w14:paraId="6DC50CE6" w14:textId="3FA74A43" w:rsidR="008D714A" w:rsidRPr="008D714A" w:rsidRDefault="008D714A" w:rsidP="008D714A">
      <w:r>
        <w:t>The following provides further</w:t>
      </w:r>
      <w:r w:rsidR="00CB5220">
        <w:t xml:space="preserve"> </w:t>
      </w:r>
      <w:r>
        <w:t xml:space="preserve">detail of the recommended changes to the Council Plan </w:t>
      </w:r>
      <w:proofErr w:type="gramStart"/>
      <w:r>
        <w:t>taking into account</w:t>
      </w:r>
      <w:proofErr w:type="gramEnd"/>
      <w:r>
        <w:t xml:space="preserve"> changes to our operating environment and outcomes of our strategies and performance to date.</w:t>
      </w:r>
    </w:p>
    <w:p w14:paraId="3147268E" w14:textId="15F49147" w:rsidR="00703D9D" w:rsidRPr="004F4160" w:rsidRDefault="00703D9D" w:rsidP="004F4160">
      <w:pPr>
        <w:pStyle w:val="Heading3"/>
      </w:pPr>
      <w:r w:rsidRPr="004F4160">
        <w:t>Updates to City and Council Indicators</w:t>
      </w:r>
    </w:p>
    <w:p w14:paraId="119EE04B" w14:textId="77777777" w:rsidR="00703D9D" w:rsidRPr="00EE5B71" w:rsidRDefault="00703D9D" w:rsidP="00703D9D">
      <w:pPr>
        <w:rPr>
          <w:rFonts w:ascii="Arial" w:hAnsi="Arial" w:cs="Arial"/>
          <w:sz w:val="20"/>
          <w:szCs w:val="20"/>
        </w:rPr>
      </w:pPr>
      <w:r w:rsidRPr="00EE5B71">
        <w:rPr>
          <w:rFonts w:ascii="Arial" w:hAnsi="Arial" w:cs="Arial"/>
          <w:sz w:val="20"/>
          <w:szCs w:val="20"/>
        </w:rPr>
        <w:t>Council indicators provide a snapshot of our performance each year.  They are reviewed annually to ensure targets are realistic and aspirational, adjust any language that may be unclear, and add any new measures that support the picture of our performance as a Council. In an effort to resume pre-pandemic levels in 2022/23, targets for the most part have not been altered from those of 2021/22.</w:t>
      </w:r>
    </w:p>
    <w:p w14:paraId="170F5465" w14:textId="77777777" w:rsidR="00703D9D" w:rsidRPr="00EE5B71" w:rsidRDefault="00703D9D" w:rsidP="00703D9D">
      <w:pPr>
        <w:rPr>
          <w:rFonts w:ascii="Arial" w:hAnsi="Arial" w:cs="Arial"/>
          <w:sz w:val="20"/>
          <w:szCs w:val="20"/>
        </w:rPr>
      </w:pPr>
      <w:r w:rsidRPr="00EE5B71">
        <w:rPr>
          <w:rFonts w:ascii="Arial" w:hAnsi="Arial" w:cs="Arial"/>
          <w:sz w:val="20"/>
          <w:szCs w:val="20"/>
        </w:rPr>
        <w:t>Updates have been made to ensure the language and metric for each indicator is expressed correctly. For 2022/23 we have also included the frequency in which each indicator can be measured to provide clarity over when we will be reporting on them. Indicators are reported on in the monthly CEO report and Annual Report.</w:t>
      </w:r>
    </w:p>
    <w:p w14:paraId="00D46C96" w14:textId="31F4C7C5" w:rsidR="00A9449E" w:rsidRPr="00EE5B71" w:rsidRDefault="00703D9D" w:rsidP="00703D9D">
      <w:pPr>
        <w:rPr>
          <w:rFonts w:ascii="Arial" w:hAnsi="Arial" w:cs="Arial"/>
          <w:sz w:val="20"/>
          <w:szCs w:val="20"/>
        </w:rPr>
      </w:pPr>
      <w:r w:rsidRPr="00EE5B71">
        <w:rPr>
          <w:rFonts w:ascii="Arial" w:hAnsi="Arial" w:cs="Arial"/>
          <w:sz w:val="20"/>
          <w:szCs w:val="20"/>
        </w:rPr>
        <w:t>Council indicator targets for 2022/23 are under review while this document is in draft and indicators in this plan that are dependent on ABS Census 2021 data will be updated in the final version to be presented to Council in June 2022.</w:t>
      </w:r>
    </w:p>
    <w:p w14:paraId="305C0D98" w14:textId="77777777" w:rsidR="00703D9D" w:rsidRPr="004F4160" w:rsidRDefault="00703D9D" w:rsidP="004F4160">
      <w:pPr>
        <w:pStyle w:val="Heading4"/>
        <w:rPr>
          <w:rStyle w:val="Heading5Char"/>
          <w:rFonts w:ascii="Poppins SemiBold" w:hAnsi="Poppins SemiBold"/>
          <w:b w:val="0"/>
          <w:bCs/>
          <w:sz w:val="28"/>
        </w:rPr>
      </w:pPr>
      <w:r w:rsidRPr="004F4160">
        <w:rPr>
          <w:rStyle w:val="Heading5Char"/>
          <w:rFonts w:ascii="Poppins SemiBold" w:hAnsi="Poppins SemiBold"/>
          <w:b w:val="0"/>
          <w:bCs/>
          <w:sz w:val="28"/>
        </w:rPr>
        <w:t>Updated Indicators</w:t>
      </w:r>
    </w:p>
    <w:p w14:paraId="56825303" w14:textId="03C89606" w:rsidR="00703D9D" w:rsidRPr="00EE5B71" w:rsidRDefault="00703D9D" w:rsidP="004F4160">
      <w:pPr>
        <w:pStyle w:val="ListParagraph"/>
        <w:numPr>
          <w:ilvl w:val="0"/>
          <w:numId w:val="2"/>
        </w:numPr>
        <w:rPr>
          <w:rFonts w:cs="Arial"/>
          <w:sz w:val="20"/>
          <w:szCs w:val="20"/>
        </w:rPr>
      </w:pPr>
      <w:r w:rsidRPr="008D090A">
        <w:rPr>
          <w:rFonts w:cs="Arial"/>
          <w:i/>
          <w:iCs/>
        </w:rPr>
        <w:t>‘</w:t>
      </w:r>
      <w:r w:rsidRPr="00EE5B71">
        <w:rPr>
          <w:rFonts w:cs="Arial"/>
          <w:i/>
          <w:iCs/>
          <w:sz w:val="20"/>
          <w:szCs w:val="20"/>
        </w:rPr>
        <w:t>Proportion of trips to, from and within the municipality not made in a car’</w:t>
      </w:r>
      <w:r w:rsidRPr="00EE5B71">
        <w:rPr>
          <w:rFonts w:cs="Arial"/>
          <w:sz w:val="20"/>
          <w:szCs w:val="20"/>
        </w:rPr>
        <w:t xml:space="preserve"> will be replaced with </w:t>
      </w:r>
      <w:r w:rsidRPr="00EE5B71">
        <w:rPr>
          <w:rFonts w:cs="Arial"/>
          <w:i/>
          <w:iCs/>
          <w:sz w:val="20"/>
          <w:szCs w:val="20"/>
        </w:rPr>
        <w:t xml:space="preserve">‘Proportion of trips made by walking and riding at key locations within the municipality’ </w:t>
      </w:r>
      <w:r w:rsidRPr="00EE5B71">
        <w:rPr>
          <w:rFonts w:cs="Arial"/>
          <w:sz w:val="20"/>
          <w:szCs w:val="20"/>
        </w:rPr>
        <w:t>using traffic sensor technology in key locations across the municipality.</w:t>
      </w:r>
    </w:p>
    <w:p w14:paraId="60B78F47" w14:textId="5DBAA39D" w:rsidR="00703D9D" w:rsidRPr="00EE5B71" w:rsidRDefault="00703D9D" w:rsidP="004F4160">
      <w:pPr>
        <w:pStyle w:val="ListParagraph"/>
        <w:numPr>
          <w:ilvl w:val="0"/>
          <w:numId w:val="2"/>
        </w:numPr>
        <w:rPr>
          <w:rFonts w:cs="Arial"/>
          <w:sz w:val="20"/>
          <w:szCs w:val="20"/>
        </w:rPr>
      </w:pPr>
      <w:r w:rsidRPr="00EE5B71">
        <w:rPr>
          <w:rFonts w:cs="Arial"/>
          <w:i/>
          <w:iCs/>
          <w:sz w:val="20"/>
          <w:szCs w:val="20"/>
        </w:rPr>
        <w:t>‘Number of people Rough Sleeping’</w:t>
      </w:r>
      <w:r w:rsidRPr="00EE5B71">
        <w:rPr>
          <w:rFonts w:cs="Arial"/>
          <w:sz w:val="20"/>
          <w:szCs w:val="20"/>
        </w:rPr>
        <w:t xml:space="preserve"> becomes two City indicators. </w:t>
      </w:r>
      <w:r w:rsidRPr="00EE5B71">
        <w:rPr>
          <w:rFonts w:cs="Arial"/>
          <w:i/>
          <w:iCs/>
          <w:sz w:val="20"/>
          <w:szCs w:val="20"/>
        </w:rPr>
        <w:t>‘Number of people experiencing homelessness on the Port Phillip By Name List’</w:t>
      </w:r>
      <w:r w:rsidRPr="00EE5B71">
        <w:rPr>
          <w:rFonts w:cs="Arial"/>
          <w:sz w:val="20"/>
          <w:szCs w:val="20"/>
        </w:rPr>
        <w:t xml:space="preserve"> which is the number of people known to Council or agencies who are or have been sleeping rough in the City and have not yet found permanent housing. They may be in emergency accommodation, hotels, short term housing or actively sleeping rough. </w:t>
      </w:r>
      <w:r w:rsidRPr="00EE5B71">
        <w:rPr>
          <w:rFonts w:cs="Arial"/>
          <w:i/>
          <w:iCs/>
          <w:sz w:val="20"/>
          <w:szCs w:val="20"/>
        </w:rPr>
        <w:t xml:space="preserve">‘Number of people actively sleeping rough’ </w:t>
      </w:r>
      <w:r w:rsidRPr="00EE5B71">
        <w:rPr>
          <w:rFonts w:cs="Arial"/>
          <w:sz w:val="20"/>
          <w:szCs w:val="20"/>
        </w:rPr>
        <w:t>which is the number of people on the By Name List who are sleeping outdoors, in parks or in cars.</w:t>
      </w:r>
    </w:p>
    <w:p w14:paraId="7D0073ED" w14:textId="53A9A827" w:rsidR="00703D9D" w:rsidRPr="00EE5B71" w:rsidRDefault="00703D9D" w:rsidP="004F4160">
      <w:pPr>
        <w:pStyle w:val="ListParagraph"/>
        <w:numPr>
          <w:ilvl w:val="0"/>
          <w:numId w:val="2"/>
        </w:numPr>
        <w:rPr>
          <w:rFonts w:cs="Arial"/>
          <w:sz w:val="20"/>
          <w:szCs w:val="20"/>
        </w:rPr>
      </w:pPr>
      <w:r w:rsidRPr="00EE5B71">
        <w:rPr>
          <w:rFonts w:cs="Arial"/>
          <w:i/>
          <w:iCs/>
          <w:sz w:val="20"/>
          <w:szCs w:val="20"/>
        </w:rPr>
        <w:t>‘Utilisation of parklets’</w:t>
      </w:r>
      <w:r w:rsidRPr="00EE5B71">
        <w:rPr>
          <w:rFonts w:cs="Arial"/>
          <w:sz w:val="20"/>
          <w:szCs w:val="20"/>
        </w:rPr>
        <w:t xml:space="preserve"> replaced by </w:t>
      </w:r>
      <w:r w:rsidRPr="00EE5B71">
        <w:rPr>
          <w:rFonts w:cs="Arial"/>
          <w:i/>
          <w:iCs/>
          <w:sz w:val="20"/>
          <w:szCs w:val="20"/>
        </w:rPr>
        <w:t>‘Number of business parklets in the municipality’</w:t>
      </w:r>
      <w:r w:rsidRPr="00EE5B71">
        <w:rPr>
          <w:rFonts w:cs="Arial"/>
          <w:sz w:val="20"/>
          <w:szCs w:val="20"/>
        </w:rPr>
        <w:t xml:space="preserve"> to reflect the transition from a temporary initiative to the permanent policy adopted by Council in 2021.</w:t>
      </w:r>
    </w:p>
    <w:p w14:paraId="3B770062" w14:textId="12A7FAE0" w:rsidR="00703D9D" w:rsidRPr="00EE5B71" w:rsidRDefault="00703D9D" w:rsidP="004F4160">
      <w:pPr>
        <w:pStyle w:val="ListParagraph"/>
        <w:numPr>
          <w:ilvl w:val="0"/>
          <w:numId w:val="2"/>
        </w:numPr>
        <w:rPr>
          <w:rFonts w:cs="Arial"/>
          <w:sz w:val="20"/>
          <w:szCs w:val="20"/>
        </w:rPr>
      </w:pPr>
      <w:r w:rsidRPr="00EE5B71">
        <w:rPr>
          <w:rFonts w:cs="Arial"/>
          <w:i/>
          <w:iCs/>
          <w:sz w:val="20"/>
          <w:szCs w:val="20"/>
        </w:rPr>
        <w:t>‘Proportion of residents satisfied with Council’s parking management system (including parking controls signage, permits system, enforcement and appeals’</w:t>
      </w:r>
      <w:r w:rsidRPr="00EE5B71">
        <w:rPr>
          <w:rFonts w:cs="Arial"/>
          <w:sz w:val="20"/>
          <w:szCs w:val="20"/>
        </w:rPr>
        <w:t xml:space="preserve"> to be replaced by two indicators. </w:t>
      </w:r>
      <w:r w:rsidRPr="00EE5B71">
        <w:rPr>
          <w:rFonts w:cs="Arial"/>
          <w:i/>
          <w:iCs/>
          <w:sz w:val="20"/>
          <w:szCs w:val="20"/>
        </w:rPr>
        <w:t>‘Proportion of residents that agree that the Parking Management Policy addresses the City’s existing and future growth and transport challenges’</w:t>
      </w:r>
      <w:r w:rsidRPr="00EE5B71">
        <w:rPr>
          <w:rFonts w:cs="Arial"/>
          <w:sz w:val="20"/>
          <w:szCs w:val="20"/>
        </w:rPr>
        <w:t xml:space="preserve"> and </w:t>
      </w:r>
      <w:r w:rsidRPr="00EE5B71">
        <w:rPr>
          <w:rFonts w:cs="Arial"/>
          <w:i/>
          <w:iCs/>
          <w:sz w:val="20"/>
          <w:szCs w:val="20"/>
        </w:rPr>
        <w:t>‘Proportion of residents that agree that the Parking Management Policy provides fairer and more reliable access to parking’.</w:t>
      </w:r>
      <w:r w:rsidRPr="00EE5B71">
        <w:rPr>
          <w:rFonts w:cs="Arial"/>
          <w:sz w:val="20"/>
          <w:szCs w:val="20"/>
        </w:rPr>
        <w:t xml:space="preserve">  The updated indicators reflect questions asked through the Local Government Community Satisfaction Survey.</w:t>
      </w:r>
    </w:p>
    <w:p w14:paraId="0676EB69" w14:textId="7249BC31" w:rsidR="00703D9D" w:rsidRPr="00EE5B71" w:rsidRDefault="00703D9D" w:rsidP="00703D9D">
      <w:pPr>
        <w:pStyle w:val="ListParagraph"/>
        <w:numPr>
          <w:ilvl w:val="0"/>
          <w:numId w:val="2"/>
        </w:numPr>
        <w:rPr>
          <w:sz w:val="20"/>
          <w:szCs w:val="20"/>
        </w:rPr>
      </w:pPr>
      <w:r w:rsidRPr="00EE5B71">
        <w:rPr>
          <w:i/>
          <w:iCs/>
          <w:sz w:val="20"/>
          <w:szCs w:val="20"/>
        </w:rPr>
        <w:t>‘Number of children with low income card accessing council operated or funded early childhood education and care service’</w:t>
      </w:r>
      <w:r w:rsidRPr="00EE5B71">
        <w:rPr>
          <w:sz w:val="20"/>
          <w:szCs w:val="20"/>
        </w:rPr>
        <w:t xml:space="preserve"> and </w:t>
      </w:r>
      <w:r w:rsidRPr="00EE5B71">
        <w:rPr>
          <w:i/>
          <w:iCs/>
          <w:sz w:val="20"/>
          <w:szCs w:val="20"/>
        </w:rPr>
        <w:t xml:space="preserve">‘Number of children with low income card accessing community managed, council funded early childhood education and care service’ </w:t>
      </w:r>
      <w:r w:rsidRPr="00EE5B71">
        <w:rPr>
          <w:sz w:val="20"/>
          <w:szCs w:val="20"/>
        </w:rPr>
        <w:t xml:space="preserve">are replaced by </w:t>
      </w:r>
      <w:r w:rsidRPr="00EE5B71">
        <w:rPr>
          <w:i/>
          <w:iCs/>
          <w:sz w:val="20"/>
          <w:szCs w:val="20"/>
        </w:rPr>
        <w:t>‘Number of children accessing council operated or funded early childhood education and care service who are accessing the maximum Federal Government additional childcare subsidy (ACCS)’</w:t>
      </w:r>
      <w:r w:rsidRPr="00EE5B71">
        <w:rPr>
          <w:sz w:val="20"/>
          <w:szCs w:val="20"/>
        </w:rPr>
        <w:t xml:space="preserve"> and </w:t>
      </w:r>
      <w:r w:rsidRPr="00EE5B71">
        <w:rPr>
          <w:i/>
          <w:iCs/>
          <w:sz w:val="20"/>
          <w:szCs w:val="20"/>
        </w:rPr>
        <w:t xml:space="preserve">‘Number of children accessing community managed, or council funded early childhood education and care service who are accessing the maximum Federal Government additional childcare </w:t>
      </w:r>
      <w:r w:rsidRPr="00EE5B71">
        <w:rPr>
          <w:i/>
          <w:iCs/>
          <w:sz w:val="20"/>
          <w:szCs w:val="20"/>
        </w:rPr>
        <w:lastRenderedPageBreak/>
        <w:t>subsidy (ACCS)’</w:t>
      </w:r>
      <w:r w:rsidRPr="00EE5B71">
        <w:rPr>
          <w:sz w:val="20"/>
          <w:szCs w:val="20"/>
        </w:rPr>
        <w:t xml:space="preserve"> respectively. The updated indicators allow us to use the same data for both Council operated and community managed centres and are a better indicator of vulnerability.</w:t>
      </w:r>
    </w:p>
    <w:p w14:paraId="093076EE" w14:textId="29D1FD21" w:rsidR="00703D9D" w:rsidRPr="004F4160" w:rsidRDefault="00703D9D" w:rsidP="004F4160">
      <w:pPr>
        <w:pStyle w:val="Heading4"/>
      </w:pPr>
      <w:r w:rsidRPr="004F4160">
        <w:t>New indicators</w:t>
      </w:r>
    </w:p>
    <w:p w14:paraId="234F3BA4" w14:textId="77777777" w:rsidR="00703D9D" w:rsidRPr="00EE5B71" w:rsidRDefault="00703D9D" w:rsidP="00703D9D">
      <w:pPr>
        <w:rPr>
          <w:rFonts w:ascii="Arial" w:hAnsi="Arial" w:cs="Arial"/>
          <w:sz w:val="20"/>
          <w:szCs w:val="20"/>
        </w:rPr>
      </w:pPr>
      <w:r w:rsidRPr="00EE5B71">
        <w:rPr>
          <w:rFonts w:ascii="Arial" w:hAnsi="Arial" w:cs="Arial"/>
          <w:sz w:val="20"/>
          <w:szCs w:val="20"/>
        </w:rPr>
        <w:t>After development in Year One of this plan, the following indicators have been included:</w:t>
      </w:r>
    </w:p>
    <w:p w14:paraId="31AFB861" w14:textId="3D4D6E88" w:rsidR="00703D9D" w:rsidRPr="00EE5B71" w:rsidRDefault="00703D9D" w:rsidP="004F4160">
      <w:pPr>
        <w:pStyle w:val="ListParagraph"/>
        <w:numPr>
          <w:ilvl w:val="0"/>
          <w:numId w:val="4"/>
        </w:numPr>
        <w:rPr>
          <w:rFonts w:cs="Arial"/>
          <w:sz w:val="20"/>
          <w:szCs w:val="20"/>
        </w:rPr>
      </w:pPr>
      <w:r w:rsidRPr="00EE5B71">
        <w:rPr>
          <w:rFonts w:cs="Arial"/>
          <w:sz w:val="20"/>
          <w:szCs w:val="20"/>
        </w:rPr>
        <w:t xml:space="preserve">Proportion of users satisfied with community services that support residents to live independently </w:t>
      </w:r>
    </w:p>
    <w:p w14:paraId="3D4124C0" w14:textId="1DE2ED5A" w:rsidR="00703D9D" w:rsidRPr="00EE5B71" w:rsidRDefault="00703D9D" w:rsidP="004F4160">
      <w:pPr>
        <w:pStyle w:val="ListParagraph"/>
        <w:numPr>
          <w:ilvl w:val="0"/>
          <w:numId w:val="4"/>
        </w:numPr>
        <w:rPr>
          <w:rFonts w:cs="Arial"/>
          <w:sz w:val="20"/>
          <w:szCs w:val="20"/>
        </w:rPr>
      </w:pPr>
      <w:r w:rsidRPr="00EE5B71">
        <w:rPr>
          <w:rFonts w:cs="Arial"/>
          <w:sz w:val="20"/>
          <w:szCs w:val="20"/>
        </w:rPr>
        <w:t xml:space="preserve">Net tree increase on Council land </w:t>
      </w:r>
    </w:p>
    <w:p w14:paraId="072BA67B" w14:textId="4EBF6428" w:rsidR="00703D9D" w:rsidRPr="00EE5B71" w:rsidRDefault="00703D9D" w:rsidP="004F4160">
      <w:pPr>
        <w:pStyle w:val="ListParagraph"/>
        <w:numPr>
          <w:ilvl w:val="0"/>
          <w:numId w:val="4"/>
        </w:numPr>
        <w:rPr>
          <w:rFonts w:cs="Arial"/>
          <w:sz w:val="20"/>
          <w:szCs w:val="20"/>
        </w:rPr>
      </w:pPr>
      <w:r w:rsidRPr="00EE5B71">
        <w:rPr>
          <w:rFonts w:cs="Arial"/>
          <w:sz w:val="20"/>
          <w:szCs w:val="20"/>
        </w:rPr>
        <w:t xml:space="preserve">Proportion of occupational health and safety incidents reported within 24 hours </w:t>
      </w:r>
    </w:p>
    <w:p w14:paraId="5FB3E83C" w14:textId="3FE1EC95" w:rsidR="00703D9D" w:rsidRPr="00EE5B71" w:rsidRDefault="00703D9D" w:rsidP="004F4160">
      <w:pPr>
        <w:pStyle w:val="ListParagraph"/>
        <w:numPr>
          <w:ilvl w:val="0"/>
          <w:numId w:val="4"/>
        </w:numPr>
        <w:rPr>
          <w:rFonts w:cs="Arial"/>
          <w:sz w:val="20"/>
          <w:szCs w:val="20"/>
        </w:rPr>
      </w:pPr>
      <w:r w:rsidRPr="00EE5B71">
        <w:rPr>
          <w:rFonts w:cs="Arial"/>
          <w:sz w:val="20"/>
          <w:szCs w:val="20"/>
        </w:rPr>
        <w:t>Proportion of staff who agree or strongly agree that the organisation encourages respectful workplace behaviours</w:t>
      </w:r>
    </w:p>
    <w:p w14:paraId="4B3B1FDD" w14:textId="77777777" w:rsidR="00703D9D" w:rsidRDefault="00703D9D" w:rsidP="004F4160">
      <w:pPr>
        <w:pStyle w:val="Heading4"/>
      </w:pPr>
      <w:r>
        <w:t>Removed Indicators</w:t>
      </w:r>
    </w:p>
    <w:p w14:paraId="364241F2" w14:textId="72796446" w:rsidR="00703D9D" w:rsidRPr="00EE5B71" w:rsidRDefault="00703D9D" w:rsidP="004F4160">
      <w:pPr>
        <w:pStyle w:val="ListParagraph"/>
        <w:numPr>
          <w:ilvl w:val="0"/>
          <w:numId w:val="3"/>
        </w:numPr>
        <w:rPr>
          <w:rFonts w:cs="Arial"/>
          <w:sz w:val="20"/>
          <w:szCs w:val="20"/>
        </w:rPr>
      </w:pPr>
      <w:r w:rsidRPr="004F4160">
        <w:rPr>
          <w:rFonts w:cs="Arial"/>
        </w:rPr>
        <w:t>‘</w:t>
      </w:r>
      <w:r w:rsidRPr="00EE5B71">
        <w:rPr>
          <w:rFonts w:cs="Arial"/>
          <w:sz w:val="20"/>
          <w:szCs w:val="20"/>
        </w:rPr>
        <w:t>Percentage of asset renewal works that support accessibility compliance’ Accessibility is built into everything we do and all works support this. We have found some renewal works already meet compliance, and all others are renewed to current compliance standards.</w:t>
      </w:r>
    </w:p>
    <w:p w14:paraId="026E5F2D" w14:textId="2BD4612D" w:rsidR="00703D9D" w:rsidRPr="00EE5B71" w:rsidRDefault="00703D9D" w:rsidP="004F4160">
      <w:pPr>
        <w:pStyle w:val="ListParagraph"/>
        <w:numPr>
          <w:ilvl w:val="0"/>
          <w:numId w:val="3"/>
        </w:numPr>
        <w:rPr>
          <w:rFonts w:cs="Arial"/>
          <w:sz w:val="20"/>
          <w:szCs w:val="20"/>
        </w:rPr>
      </w:pPr>
      <w:r w:rsidRPr="00EE5B71">
        <w:rPr>
          <w:rFonts w:cs="Arial"/>
          <w:sz w:val="20"/>
          <w:szCs w:val="20"/>
        </w:rPr>
        <w:t xml:space="preserve">‘Net increase in permeable surface area on Council Land through our capital and operating portfolio’ The feasibility of this indicator in terms of data capture and scale will be further explored throughout the review of Act and Adapt.  </w:t>
      </w:r>
    </w:p>
    <w:p w14:paraId="662D8E85" w14:textId="77777777" w:rsidR="00703D9D" w:rsidRPr="00E946A9" w:rsidRDefault="00703D9D" w:rsidP="00703D9D">
      <w:pPr>
        <w:pStyle w:val="Heading3"/>
      </w:pPr>
      <w:r>
        <w:t>Updates to Strategic Direction Initiatives</w:t>
      </w:r>
    </w:p>
    <w:p w14:paraId="59A47196" w14:textId="646864E1" w:rsidR="00703D9D" w:rsidRPr="00EE5B71" w:rsidRDefault="00703D9D" w:rsidP="00703D9D">
      <w:pPr>
        <w:rPr>
          <w:rFonts w:ascii="Arial" w:hAnsi="Arial" w:cs="Arial"/>
          <w:sz w:val="20"/>
          <w:szCs w:val="20"/>
        </w:rPr>
      </w:pPr>
      <w:r w:rsidRPr="00EE5B71">
        <w:rPr>
          <w:rFonts w:ascii="Arial" w:hAnsi="Arial" w:cs="Arial"/>
          <w:sz w:val="20"/>
          <w:szCs w:val="20"/>
        </w:rPr>
        <w:t>As we complete ‘Year One’ of this plan, there are initiatives that have been completed or we have more certainty about. For example, if they are contingent on external funding agreements, planning provisions, or completion of a strategic piece of work or investigation. The following table shows changes have been made to our initiatives in order of strategic direction, these do not include minor changes made to improve the language and descriptors used.</w:t>
      </w:r>
    </w:p>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29AB9B52" w14:textId="77777777" w:rsidTr="00A212C4">
        <w:trPr>
          <w:trHeight w:val="559"/>
          <w:tblHeader/>
        </w:trPr>
        <w:tc>
          <w:tcPr>
            <w:tcW w:w="1843" w:type="dxa"/>
            <w:shd w:val="clear" w:color="auto" w:fill="000000" w:themeFill="text1"/>
          </w:tcPr>
          <w:p w14:paraId="735E0F13" w14:textId="77777777" w:rsidR="00703D9D" w:rsidRPr="00A212C4" w:rsidRDefault="00703D9D" w:rsidP="009E75D9">
            <w:pPr>
              <w:rPr>
                <w:rFonts w:cs="Arial"/>
                <w:b/>
                <w:bCs/>
                <w:color w:val="FFFFFF" w:themeColor="background1"/>
                <w:sz w:val="16"/>
                <w:szCs w:val="16"/>
              </w:rPr>
            </w:pPr>
            <w:r w:rsidRPr="00A212C4">
              <w:rPr>
                <w:rFonts w:cs="Arial"/>
                <w:b/>
                <w:bCs/>
                <w:color w:val="FFFFFF" w:themeColor="background1"/>
                <w:sz w:val="16"/>
                <w:szCs w:val="16"/>
              </w:rPr>
              <w:t>Strategic Direction</w:t>
            </w:r>
          </w:p>
        </w:tc>
        <w:tc>
          <w:tcPr>
            <w:tcW w:w="2835" w:type="dxa"/>
            <w:shd w:val="clear" w:color="auto" w:fill="000000" w:themeFill="text1"/>
          </w:tcPr>
          <w:p w14:paraId="7A754309" w14:textId="77777777" w:rsidR="00703D9D" w:rsidRPr="00A212C4" w:rsidRDefault="00703D9D" w:rsidP="009E75D9">
            <w:pPr>
              <w:rPr>
                <w:rFonts w:cs="Arial"/>
                <w:b/>
                <w:bCs/>
                <w:color w:val="FFFFFF" w:themeColor="background1"/>
                <w:sz w:val="16"/>
                <w:szCs w:val="16"/>
              </w:rPr>
            </w:pPr>
            <w:r w:rsidRPr="00A212C4">
              <w:rPr>
                <w:rFonts w:cs="Arial"/>
                <w:b/>
                <w:bCs/>
                <w:color w:val="FFFFFF" w:themeColor="background1"/>
                <w:sz w:val="16"/>
                <w:szCs w:val="16"/>
              </w:rPr>
              <w:t>Year One initiative</w:t>
            </w:r>
          </w:p>
        </w:tc>
        <w:tc>
          <w:tcPr>
            <w:tcW w:w="2552" w:type="dxa"/>
            <w:shd w:val="clear" w:color="auto" w:fill="000000" w:themeFill="text1"/>
          </w:tcPr>
          <w:p w14:paraId="7F99A946" w14:textId="77777777" w:rsidR="00703D9D" w:rsidRPr="00A212C4" w:rsidRDefault="00703D9D" w:rsidP="009E75D9">
            <w:pPr>
              <w:rPr>
                <w:rFonts w:cs="Arial"/>
                <w:b/>
                <w:bCs/>
                <w:color w:val="FFFFFF" w:themeColor="background1"/>
                <w:sz w:val="16"/>
                <w:szCs w:val="16"/>
              </w:rPr>
            </w:pPr>
            <w:r w:rsidRPr="00A212C4">
              <w:rPr>
                <w:rFonts w:cs="Arial"/>
                <w:b/>
                <w:bCs/>
                <w:color w:val="FFFFFF" w:themeColor="background1"/>
                <w:sz w:val="16"/>
                <w:szCs w:val="16"/>
              </w:rPr>
              <w:t>Year Two updated initiative</w:t>
            </w:r>
          </w:p>
        </w:tc>
        <w:tc>
          <w:tcPr>
            <w:tcW w:w="2409" w:type="dxa"/>
            <w:shd w:val="clear" w:color="auto" w:fill="000000" w:themeFill="text1"/>
          </w:tcPr>
          <w:p w14:paraId="44FFF01E" w14:textId="77777777" w:rsidR="00703D9D" w:rsidRPr="00A212C4" w:rsidRDefault="00703D9D" w:rsidP="009E75D9">
            <w:pPr>
              <w:rPr>
                <w:rFonts w:cs="Arial"/>
                <w:b/>
                <w:bCs/>
                <w:color w:val="FFFFFF" w:themeColor="background1"/>
                <w:sz w:val="16"/>
                <w:szCs w:val="16"/>
              </w:rPr>
            </w:pPr>
            <w:r w:rsidRPr="00A212C4">
              <w:rPr>
                <w:rFonts w:cs="Arial"/>
                <w:b/>
                <w:bCs/>
                <w:color w:val="FFFFFF" w:themeColor="background1"/>
                <w:sz w:val="16"/>
                <w:szCs w:val="16"/>
              </w:rPr>
              <w:t>Description of change</w:t>
            </w: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4D533738" w14:textId="77777777" w:rsidTr="00A212C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37726C43" w14:textId="77777777" w:rsidR="00703D9D" w:rsidRPr="00A212C4" w:rsidRDefault="00703D9D" w:rsidP="009E75D9">
            <w:pPr>
              <w:rPr>
                <w:rFonts w:ascii="Arial" w:hAnsi="Arial" w:cs="Arial"/>
                <w:b w:val="0"/>
                <w:bCs w:val="0"/>
                <w:sz w:val="16"/>
                <w:szCs w:val="16"/>
              </w:rPr>
            </w:pPr>
            <w:r w:rsidRPr="00A212C4">
              <w:rPr>
                <w:rFonts w:ascii="Arial" w:hAnsi="Arial" w:cs="Arial"/>
                <w:b w:val="0"/>
                <w:bCs w:val="0"/>
                <w:sz w:val="16"/>
                <w:szCs w:val="16"/>
              </w:rPr>
              <w:t xml:space="preserve">Inclusive – </w:t>
            </w:r>
            <w:r w:rsidRPr="00A212C4">
              <w:rPr>
                <w:rFonts w:ascii="Arial" w:hAnsi="Arial" w:cs="Arial"/>
                <w:sz w:val="16"/>
                <w:szCs w:val="16"/>
              </w:rPr>
              <w:t>We will provide:</w:t>
            </w:r>
          </w:p>
        </w:tc>
        <w:tc>
          <w:tcPr>
            <w:tcW w:w="2835" w:type="dxa"/>
            <w:shd w:val="clear" w:color="auto" w:fill="DEEAF6" w:themeFill="accent5" w:themeFillTint="33"/>
          </w:tcPr>
          <w:p w14:paraId="3BB00727"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16"/>
                <w:szCs w:val="16"/>
              </w:rPr>
            </w:pPr>
            <w:r w:rsidRPr="00A212C4">
              <w:rPr>
                <w:rFonts w:ascii="Arial" w:hAnsi="Arial" w:cs="Arial"/>
                <w:b w:val="0"/>
                <w:bCs w:val="0"/>
                <w:sz w:val="16"/>
                <w:szCs w:val="16"/>
              </w:rPr>
              <w:t xml:space="preserve">delivery of services and programs for children, young people, their families, and caregivers in our City that meet the aspirations of our ‘Every Child, Our Future’: Children’s Services Policy including: </w:t>
            </w:r>
          </w:p>
          <w:p w14:paraId="6B0F4193"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A212C4">
              <w:rPr>
                <w:rFonts w:cs="Arial"/>
                <w:b w:val="0"/>
                <w:bCs w:val="0"/>
                <w:sz w:val="16"/>
                <w:szCs w:val="16"/>
              </w:rPr>
              <w:t>providing universal and enhanced maternal and child health services as well as family support services to assist parents, carers. and families to increase their capacity and capability</w:t>
            </w:r>
          </w:p>
          <w:p w14:paraId="43539F82"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t>planning and support for children’s services in the municipality to help all children and young people living in Port Phillip to develop their full potential and minimise the effects of disadvantage</w:t>
            </w:r>
          </w:p>
          <w:p w14:paraId="7A1B28D9"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lastRenderedPageBreak/>
              <w:t>providing high quality Council-run early education and care services.</w:t>
            </w:r>
          </w:p>
          <w:p w14:paraId="7EFAF8E0"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t>programming and funding to create opportunities for children in their middle years to participate regardless of their background or circumstances</w:t>
            </w:r>
          </w:p>
          <w:p w14:paraId="7D2AA6E0"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t>providing and enabling childhood, adolescent and adult immunisations to protect from vaccine-preventable diseases.</w:t>
            </w:r>
          </w:p>
          <w:p w14:paraId="6850E92A"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c>
          <w:tcPr>
            <w:tcW w:w="2552" w:type="dxa"/>
            <w:shd w:val="clear" w:color="auto" w:fill="DEEAF6" w:themeFill="accent5" w:themeFillTint="33"/>
          </w:tcPr>
          <w:p w14:paraId="030DF1F6"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16"/>
                <w:szCs w:val="16"/>
              </w:rPr>
            </w:pPr>
            <w:r w:rsidRPr="00A212C4">
              <w:rPr>
                <w:rFonts w:ascii="Arial" w:hAnsi="Arial" w:cs="Arial"/>
                <w:b w:val="0"/>
                <w:bCs w:val="0"/>
                <w:sz w:val="16"/>
                <w:szCs w:val="16"/>
              </w:rPr>
              <w:lastRenderedPageBreak/>
              <w:t xml:space="preserve">delivery of services and programs for children, young people, their families and caregivers in our City that meet the aspirations of our ‘Every Child, Our Future’: Children’s Services Policy including: </w:t>
            </w:r>
          </w:p>
          <w:p w14:paraId="49082DF4"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A212C4">
              <w:rPr>
                <w:rFonts w:cs="Arial"/>
                <w:b w:val="0"/>
                <w:bCs w:val="0"/>
                <w:sz w:val="16"/>
                <w:szCs w:val="16"/>
              </w:rPr>
              <w:t>providing universal and enhanced maternal and child health services as well as family support services to assist parents, carers, and families to increase their capacity and capability</w:t>
            </w:r>
          </w:p>
          <w:p w14:paraId="59D7BD56"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cs="Arial"/>
                <w:b w:val="0"/>
                <w:bCs w:val="0"/>
                <w:sz w:val="16"/>
                <w:szCs w:val="16"/>
                <w:u w:val="single"/>
              </w:rPr>
            </w:pPr>
            <w:r w:rsidRPr="00A212C4">
              <w:rPr>
                <w:rFonts w:eastAsia="Calibri" w:cs="Arial"/>
                <w:b w:val="0"/>
                <w:bCs w:val="0"/>
                <w:sz w:val="16"/>
                <w:szCs w:val="16"/>
                <w:u w:val="single"/>
              </w:rPr>
              <w:t>increasing the number of vulnerable children in the City who access quality early education and care</w:t>
            </w:r>
          </w:p>
          <w:p w14:paraId="448778F7"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t xml:space="preserve">planning and support for children’s services in the </w:t>
            </w:r>
            <w:r w:rsidRPr="00A212C4">
              <w:rPr>
                <w:rFonts w:cs="Arial"/>
                <w:b w:val="0"/>
                <w:bCs w:val="0"/>
                <w:sz w:val="16"/>
                <w:szCs w:val="16"/>
              </w:rPr>
              <w:lastRenderedPageBreak/>
              <w:t>municipality to help all children and young people living in Port Phillip to develop their full potential and minimise the effects of disadvantage</w:t>
            </w:r>
          </w:p>
          <w:p w14:paraId="1C3864B7"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t>providing high quality Council-run early education and care services.</w:t>
            </w:r>
          </w:p>
          <w:p w14:paraId="3A7C70CF"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t>programming and funding to create opportunities for children in their middle years to participate regardless of their background or circumstances</w:t>
            </w:r>
          </w:p>
          <w:p w14:paraId="5300951B" w14:textId="77777777" w:rsidR="00703D9D" w:rsidRPr="00A212C4" w:rsidRDefault="00703D9D" w:rsidP="009E75D9">
            <w:pPr>
              <w:pStyle w:val="ListParagraph"/>
              <w:numPr>
                <w:ilvl w:val="0"/>
                <w:numId w:val="1"/>
              </w:numPr>
              <w:ind w:left="401" w:hanging="283"/>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16"/>
                <w:szCs w:val="16"/>
              </w:rPr>
            </w:pPr>
            <w:r w:rsidRPr="00A212C4">
              <w:rPr>
                <w:rFonts w:cs="Arial"/>
                <w:b w:val="0"/>
                <w:bCs w:val="0"/>
                <w:sz w:val="16"/>
                <w:szCs w:val="16"/>
              </w:rPr>
              <w:t>providing and enabling childhood, adolescent and adult immunisations to protect from vaccine-preventable diseases.</w:t>
            </w:r>
          </w:p>
        </w:tc>
        <w:tc>
          <w:tcPr>
            <w:tcW w:w="2409" w:type="dxa"/>
            <w:shd w:val="clear" w:color="auto" w:fill="DEEAF6" w:themeFill="accent5" w:themeFillTint="33"/>
          </w:tcPr>
          <w:p w14:paraId="586519D4"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eastAsia="Calibri" w:hAnsi="Arial" w:cs="Arial"/>
                <w:b w:val="0"/>
                <w:bCs w:val="0"/>
                <w:sz w:val="16"/>
                <w:szCs w:val="16"/>
              </w:rPr>
              <w:lastRenderedPageBreak/>
              <w:t>Addition of “</w:t>
            </w:r>
            <w:r w:rsidRPr="00A212C4">
              <w:rPr>
                <w:rFonts w:ascii="Arial" w:eastAsia="Calibri" w:hAnsi="Arial" w:cs="Arial"/>
                <w:b w:val="0"/>
                <w:bCs w:val="0"/>
                <w:i/>
                <w:iCs/>
                <w:sz w:val="16"/>
                <w:szCs w:val="16"/>
              </w:rPr>
              <w:t>increasing the number of vulnerable children in the City who access quality early education and care”</w:t>
            </w:r>
            <w:r w:rsidRPr="00A212C4">
              <w:rPr>
                <w:rFonts w:ascii="Arial" w:eastAsia="Calibri" w:hAnsi="Arial" w:cs="Arial"/>
                <w:b w:val="0"/>
                <w:bCs w:val="0"/>
                <w:sz w:val="16"/>
                <w:szCs w:val="16"/>
              </w:rPr>
              <w:t xml:space="preserve"> to capture the service we currently provide.</w:t>
            </w:r>
          </w:p>
          <w:p w14:paraId="399CBEDF"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r>
    </w:tbl>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09CEAEF1" w14:textId="77777777" w:rsidTr="007D55D4">
        <w:trPr>
          <w:trHeight w:val="85"/>
        </w:trPr>
        <w:tc>
          <w:tcPr>
            <w:tcW w:w="1843" w:type="dxa"/>
          </w:tcPr>
          <w:p w14:paraId="0C7A40C1"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Inclusive – </w:t>
            </w:r>
            <w:r w:rsidRPr="00A212C4">
              <w:rPr>
                <w:rFonts w:ascii="Arial" w:hAnsi="Arial" w:cs="Arial"/>
                <w:b/>
                <w:bCs/>
                <w:sz w:val="16"/>
                <w:szCs w:val="16"/>
              </w:rPr>
              <w:t>We will provide:</w:t>
            </w:r>
          </w:p>
        </w:tc>
        <w:tc>
          <w:tcPr>
            <w:tcW w:w="2835" w:type="dxa"/>
          </w:tcPr>
          <w:p w14:paraId="4912E4AF"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high-quality sport and recreation infrastructure, designed for shared community use that enables people of all ages, backgrounds and abilities to participate - including major projects such as JL Murphy, Lagoon Reserve, North Port Oval, RF </w:t>
            </w:r>
            <w:proofErr w:type="spellStart"/>
            <w:r w:rsidRPr="00A212C4">
              <w:rPr>
                <w:rFonts w:ascii="Arial" w:hAnsi="Arial" w:cs="Arial"/>
                <w:sz w:val="16"/>
                <w:szCs w:val="16"/>
              </w:rPr>
              <w:t>Julier</w:t>
            </w:r>
            <w:proofErr w:type="spellEnd"/>
            <w:r w:rsidRPr="00A212C4">
              <w:rPr>
                <w:rFonts w:ascii="Arial" w:hAnsi="Arial" w:cs="Arial"/>
                <w:sz w:val="16"/>
                <w:szCs w:val="16"/>
              </w:rPr>
              <w:t>, Port Melbourne Netball Courts, Wattie Watson Oval, and other sports field lighting and minor recreation infrastructure renewals, subject to available budget funding</w:t>
            </w:r>
          </w:p>
        </w:tc>
        <w:tc>
          <w:tcPr>
            <w:tcW w:w="2552" w:type="dxa"/>
          </w:tcPr>
          <w:p w14:paraId="3415B600" w14:textId="64FDF9DF" w:rsidR="00703D9D" w:rsidRPr="00EA0D18" w:rsidRDefault="00703D9D" w:rsidP="009E75D9">
            <w:pPr>
              <w:rPr>
                <w:rFonts w:ascii="Arial" w:eastAsiaTheme="minorEastAsia" w:hAnsi="Arial" w:cs="Arial"/>
                <w:sz w:val="16"/>
                <w:szCs w:val="16"/>
              </w:rPr>
            </w:pPr>
            <w:r w:rsidRPr="00A212C4">
              <w:rPr>
                <w:rFonts w:ascii="Arial" w:hAnsi="Arial" w:cs="Arial"/>
                <w:sz w:val="16"/>
                <w:szCs w:val="16"/>
              </w:rPr>
              <w:t>high-quality sport and recreation infrastructure, designed for shared community use that enables people of all ages, backgrounds, and abilities to participate - including delivering major projects such as JL Murphy Soccer and Baseball, Lagoon Reserve, Elder Smith Netball Courts, and other sports field lighting and minor recreation infrastructure renewals, subject to available budget funding</w:t>
            </w:r>
            <w:r w:rsidR="00EA0D18">
              <w:rPr>
                <w:rFonts w:ascii="Arial" w:eastAsiaTheme="minorEastAsia" w:hAnsi="Arial" w:cs="Arial"/>
                <w:sz w:val="16"/>
                <w:szCs w:val="16"/>
              </w:rPr>
              <w:t>.</w:t>
            </w:r>
          </w:p>
        </w:tc>
        <w:tc>
          <w:tcPr>
            <w:tcW w:w="2409" w:type="dxa"/>
          </w:tcPr>
          <w:p w14:paraId="3FF3DF6A" w14:textId="77777777" w:rsidR="00703D9D" w:rsidRPr="00A212C4" w:rsidRDefault="00703D9D" w:rsidP="009E75D9">
            <w:pPr>
              <w:rPr>
                <w:rFonts w:ascii="Arial" w:hAnsi="Arial" w:cs="Arial"/>
                <w:sz w:val="16"/>
                <w:szCs w:val="16"/>
              </w:rPr>
            </w:pPr>
            <w:r w:rsidRPr="00A212C4">
              <w:rPr>
                <w:rFonts w:ascii="Arial" w:hAnsi="Arial" w:cs="Arial"/>
                <w:sz w:val="16"/>
                <w:szCs w:val="16"/>
              </w:rPr>
              <w:t>Major projects listed updated in line with Budget for 2022-23</w:t>
            </w: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7E4B39E3" w14:textId="77777777" w:rsidTr="007D55D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591A0753"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Inclusive</w:t>
            </w:r>
            <w:r w:rsidRPr="00A212C4">
              <w:rPr>
                <w:rFonts w:ascii="Arial" w:hAnsi="Arial" w:cs="Arial"/>
                <w:sz w:val="16"/>
                <w:szCs w:val="16"/>
              </w:rPr>
              <w:t xml:space="preserve"> </w:t>
            </w:r>
            <w:r w:rsidRPr="00A212C4">
              <w:rPr>
                <w:rFonts w:ascii="Arial" w:hAnsi="Arial" w:cs="Arial"/>
                <w:b w:val="0"/>
                <w:bCs w:val="0"/>
                <w:sz w:val="16"/>
                <w:szCs w:val="16"/>
              </w:rPr>
              <w:t xml:space="preserve">– </w:t>
            </w:r>
            <w:r w:rsidRPr="00A212C4">
              <w:rPr>
                <w:rFonts w:ascii="Arial" w:hAnsi="Arial" w:cs="Arial"/>
                <w:sz w:val="16"/>
                <w:szCs w:val="16"/>
              </w:rPr>
              <w:t>We will provide:</w:t>
            </w:r>
          </w:p>
        </w:tc>
        <w:tc>
          <w:tcPr>
            <w:tcW w:w="2835" w:type="dxa"/>
            <w:shd w:val="clear" w:color="auto" w:fill="DEEAF6" w:themeFill="accent5" w:themeFillTint="33"/>
          </w:tcPr>
          <w:p w14:paraId="5697E8B2"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a new Older Persons Policy by March 2022 to set out the needs and aspirations for older people in our municipality and guide Council’s response to major reforms happening in the aged and disability sectors</w:t>
            </w:r>
          </w:p>
        </w:tc>
        <w:tc>
          <w:tcPr>
            <w:tcW w:w="2552" w:type="dxa"/>
            <w:shd w:val="clear" w:color="auto" w:fill="DEEAF6" w:themeFill="accent5" w:themeFillTint="33"/>
          </w:tcPr>
          <w:p w14:paraId="1CC6E3EF"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a new Positive Ageing Policy by November 2022 to set out the needs and aspirations for older people in our municipality and guide Council’s response to major reforms happening in the aged and disability sectors.</w:t>
            </w:r>
          </w:p>
        </w:tc>
        <w:tc>
          <w:tcPr>
            <w:tcW w:w="2409" w:type="dxa"/>
            <w:shd w:val="clear" w:color="auto" w:fill="DEEAF6" w:themeFill="accent5" w:themeFillTint="33"/>
          </w:tcPr>
          <w:p w14:paraId="1523178D"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Language updated in line with Council decision on 2 February 2022 and updated delivery timeframe due to community consultation delays caused by COVID-19 restrictions.</w:t>
            </w:r>
          </w:p>
        </w:tc>
      </w:tr>
    </w:tbl>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5B94BD67" w14:textId="77777777" w:rsidTr="007D55D4">
        <w:trPr>
          <w:trHeight w:val="271"/>
        </w:trPr>
        <w:tc>
          <w:tcPr>
            <w:tcW w:w="1843" w:type="dxa"/>
          </w:tcPr>
          <w:p w14:paraId="26F8A61D"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Inclusive – </w:t>
            </w:r>
            <w:r w:rsidRPr="00A212C4">
              <w:rPr>
                <w:rFonts w:ascii="Arial" w:hAnsi="Arial" w:cs="Arial"/>
                <w:b/>
                <w:bCs/>
                <w:sz w:val="16"/>
                <w:szCs w:val="16"/>
              </w:rPr>
              <w:t>We will partner with:</w:t>
            </w:r>
          </w:p>
        </w:tc>
        <w:tc>
          <w:tcPr>
            <w:tcW w:w="2835" w:type="dxa"/>
          </w:tcPr>
          <w:p w14:paraId="2C0968B3" w14:textId="77777777" w:rsidR="00703D9D" w:rsidRPr="00A212C4" w:rsidRDefault="00703D9D" w:rsidP="009E75D9">
            <w:pPr>
              <w:rPr>
                <w:rFonts w:ascii="Arial" w:hAnsi="Arial" w:cs="Arial"/>
                <w:sz w:val="16"/>
                <w:szCs w:val="16"/>
              </w:rPr>
            </w:pPr>
            <w:r w:rsidRPr="00A212C4">
              <w:rPr>
                <w:rFonts w:ascii="Arial" w:hAnsi="Arial" w:cs="Arial"/>
                <w:sz w:val="16"/>
                <w:szCs w:val="16"/>
              </w:rPr>
              <w:t>a third Reconciliation Action Plan that continues our commitment to work with Traditional Owners and local Aboriginal and Torres Strait Islander people to achieve reconciliation</w:t>
            </w:r>
          </w:p>
        </w:tc>
        <w:tc>
          <w:tcPr>
            <w:tcW w:w="2552" w:type="dxa"/>
          </w:tcPr>
          <w:p w14:paraId="00025D6B" w14:textId="77777777" w:rsidR="00703D9D" w:rsidRPr="00A212C4" w:rsidRDefault="00703D9D" w:rsidP="009E75D9">
            <w:pPr>
              <w:rPr>
                <w:rFonts w:ascii="Arial" w:eastAsiaTheme="minorEastAsia" w:hAnsi="Arial" w:cs="Arial"/>
                <w:sz w:val="16"/>
                <w:szCs w:val="16"/>
              </w:rPr>
            </w:pPr>
            <w:r w:rsidRPr="00A212C4">
              <w:rPr>
                <w:rFonts w:ascii="Arial" w:hAnsi="Arial" w:cs="Arial"/>
                <w:sz w:val="16"/>
                <w:szCs w:val="16"/>
              </w:rPr>
              <w:t xml:space="preserve">a third Reconciliation Action Plan that continues our commitment to work with the </w:t>
            </w:r>
            <w:proofErr w:type="spellStart"/>
            <w:r w:rsidRPr="00A212C4">
              <w:rPr>
                <w:rFonts w:ascii="Arial" w:hAnsi="Arial" w:cs="Arial"/>
                <w:sz w:val="16"/>
                <w:szCs w:val="16"/>
              </w:rPr>
              <w:t>Boonwurrung</w:t>
            </w:r>
            <w:proofErr w:type="spellEnd"/>
            <w:r w:rsidRPr="00A212C4">
              <w:rPr>
                <w:rFonts w:ascii="Arial" w:hAnsi="Arial" w:cs="Arial"/>
                <w:sz w:val="16"/>
                <w:szCs w:val="16"/>
              </w:rPr>
              <w:t xml:space="preserve"> Traditional Owners, the two Registered Aboriginal Parties for the City and local Aboriginal and Torres Strait Islander people to achieve reconciliation</w:t>
            </w:r>
          </w:p>
        </w:tc>
        <w:tc>
          <w:tcPr>
            <w:tcW w:w="2409" w:type="dxa"/>
          </w:tcPr>
          <w:p w14:paraId="75C682CC" w14:textId="77777777" w:rsidR="00703D9D" w:rsidRPr="00A212C4" w:rsidRDefault="00703D9D" w:rsidP="009E75D9">
            <w:pPr>
              <w:rPr>
                <w:rFonts w:ascii="Arial" w:hAnsi="Arial" w:cs="Arial"/>
                <w:sz w:val="16"/>
                <w:szCs w:val="16"/>
              </w:rPr>
            </w:pPr>
            <w:r w:rsidRPr="00A212C4">
              <w:rPr>
                <w:rFonts w:ascii="Arial" w:hAnsi="Arial" w:cs="Arial"/>
                <w:sz w:val="16"/>
                <w:szCs w:val="16"/>
              </w:rPr>
              <w:t>Reflects changes to Traditional Landowner boundaries and need for registration of Aboriginal Parties to Victorian Aboriginal Heritage Council as at 1 July 2021.</w:t>
            </w: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23E65352" w14:textId="77777777" w:rsidTr="007D55D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7432F267" w14:textId="77777777" w:rsidR="00703D9D" w:rsidRPr="00A212C4" w:rsidRDefault="00703D9D" w:rsidP="009E75D9">
            <w:pPr>
              <w:rPr>
                <w:rFonts w:ascii="Arial" w:hAnsi="Arial" w:cs="Arial"/>
                <w:b w:val="0"/>
                <w:bCs w:val="0"/>
                <w:sz w:val="16"/>
                <w:szCs w:val="16"/>
              </w:rPr>
            </w:pPr>
            <w:r w:rsidRPr="00A212C4">
              <w:rPr>
                <w:rFonts w:ascii="Arial" w:hAnsi="Arial" w:cs="Arial"/>
                <w:b w:val="0"/>
                <w:bCs w:val="0"/>
                <w:sz w:val="16"/>
                <w:szCs w:val="16"/>
              </w:rPr>
              <w:t xml:space="preserve">Inclusive - </w:t>
            </w:r>
            <w:r w:rsidRPr="00A212C4">
              <w:rPr>
                <w:rFonts w:ascii="Arial" w:hAnsi="Arial" w:cs="Arial"/>
                <w:sz w:val="16"/>
                <w:szCs w:val="16"/>
              </w:rPr>
              <w:t>We will partner with:</w:t>
            </w:r>
          </w:p>
        </w:tc>
        <w:tc>
          <w:tcPr>
            <w:tcW w:w="2835" w:type="dxa"/>
            <w:shd w:val="clear" w:color="auto" w:fill="DEEAF6" w:themeFill="accent5" w:themeFillTint="33"/>
          </w:tcPr>
          <w:p w14:paraId="618A5F63"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 xml:space="preserve">our Older Persons Advisory Committee, Youth Advisory Committee, Multicultural Advisory Committee, </w:t>
            </w:r>
            <w:proofErr w:type="spellStart"/>
            <w:r w:rsidRPr="00A212C4">
              <w:rPr>
                <w:rFonts w:ascii="Arial" w:hAnsi="Arial" w:cs="Arial"/>
                <w:b w:val="0"/>
                <w:bCs w:val="0"/>
                <w:sz w:val="16"/>
                <w:szCs w:val="16"/>
              </w:rPr>
              <w:t>MultiFaith</w:t>
            </w:r>
            <w:proofErr w:type="spellEnd"/>
            <w:r w:rsidRPr="00A212C4">
              <w:rPr>
                <w:rFonts w:ascii="Arial" w:hAnsi="Arial" w:cs="Arial"/>
                <w:b w:val="0"/>
                <w:bCs w:val="0"/>
                <w:sz w:val="16"/>
                <w:szCs w:val="16"/>
              </w:rPr>
              <w:t xml:space="preserve"> Network and establish other committees, where relevant, to ensure the diversity of our community’s experience is represented in decision-making</w:t>
            </w:r>
          </w:p>
        </w:tc>
        <w:tc>
          <w:tcPr>
            <w:tcW w:w="2552" w:type="dxa"/>
            <w:shd w:val="clear" w:color="auto" w:fill="DEEAF6" w:themeFill="accent5" w:themeFillTint="33"/>
          </w:tcPr>
          <w:p w14:paraId="147A507A"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16"/>
                <w:szCs w:val="16"/>
              </w:rPr>
            </w:pPr>
            <w:r w:rsidRPr="00A212C4">
              <w:rPr>
                <w:rFonts w:ascii="Arial" w:hAnsi="Arial" w:cs="Arial"/>
                <w:b w:val="0"/>
                <w:bCs w:val="0"/>
                <w:sz w:val="16"/>
                <w:szCs w:val="16"/>
              </w:rPr>
              <w:t>our Older Persons Advisory Committee, Youth Advisory Committee, Multicultural Advisory Committee, Multi-Faith Network, LGBTIQA+ Advisory Committee and establish other committees, where relevant, to ensure the diversity of our community’s experience is represented in decision-making</w:t>
            </w:r>
          </w:p>
        </w:tc>
        <w:tc>
          <w:tcPr>
            <w:tcW w:w="2409" w:type="dxa"/>
            <w:shd w:val="clear" w:color="auto" w:fill="DEEAF6" w:themeFill="accent5" w:themeFillTint="33"/>
          </w:tcPr>
          <w:p w14:paraId="336E274C"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Updated to include LGBTIQA+ Advisory Committee established in November 2021</w:t>
            </w:r>
          </w:p>
        </w:tc>
      </w:tr>
    </w:tbl>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686742BB" w14:textId="77777777" w:rsidTr="007D55D4">
        <w:trPr>
          <w:trHeight w:val="271"/>
        </w:trPr>
        <w:tc>
          <w:tcPr>
            <w:tcW w:w="1843" w:type="dxa"/>
          </w:tcPr>
          <w:p w14:paraId="561739EB" w14:textId="77777777" w:rsidR="00703D9D" w:rsidRPr="00A212C4" w:rsidRDefault="00703D9D" w:rsidP="009E75D9">
            <w:pPr>
              <w:rPr>
                <w:rFonts w:ascii="Arial" w:hAnsi="Arial" w:cs="Arial"/>
                <w:sz w:val="16"/>
                <w:szCs w:val="16"/>
              </w:rPr>
            </w:pPr>
            <w:r w:rsidRPr="00A212C4">
              <w:rPr>
                <w:rFonts w:ascii="Arial" w:hAnsi="Arial" w:cs="Arial"/>
                <w:sz w:val="16"/>
                <w:szCs w:val="16"/>
              </w:rPr>
              <w:lastRenderedPageBreak/>
              <w:t xml:space="preserve">Inclusive - </w:t>
            </w:r>
            <w:r w:rsidRPr="00A212C4">
              <w:rPr>
                <w:rFonts w:ascii="Arial" w:hAnsi="Arial" w:cs="Arial"/>
                <w:b/>
                <w:bCs/>
                <w:sz w:val="16"/>
                <w:szCs w:val="16"/>
              </w:rPr>
              <w:t>We will partner with:</w:t>
            </w:r>
          </w:p>
        </w:tc>
        <w:tc>
          <w:tcPr>
            <w:tcW w:w="2835" w:type="dxa"/>
          </w:tcPr>
          <w:p w14:paraId="5415D100"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community groups through grant programs to: </w:t>
            </w:r>
          </w:p>
          <w:p w14:paraId="63FFC4AA" w14:textId="77777777" w:rsidR="00703D9D" w:rsidRPr="00A212C4" w:rsidRDefault="00703D9D" w:rsidP="009E75D9">
            <w:pPr>
              <w:pStyle w:val="ListParagraph"/>
              <w:numPr>
                <w:ilvl w:val="0"/>
                <w:numId w:val="1"/>
              </w:numPr>
              <w:ind w:left="401" w:hanging="283"/>
              <w:rPr>
                <w:rFonts w:cs="Arial"/>
                <w:sz w:val="16"/>
                <w:szCs w:val="16"/>
              </w:rPr>
            </w:pPr>
            <w:r w:rsidRPr="00A212C4">
              <w:rPr>
                <w:rFonts w:cs="Arial"/>
                <w:sz w:val="16"/>
                <w:szCs w:val="16"/>
              </w:rPr>
              <w:t xml:space="preserve">strengthen and leverage the capacity of local groups and networks </w:t>
            </w:r>
          </w:p>
          <w:p w14:paraId="66289B87" w14:textId="77777777" w:rsidR="00703D9D" w:rsidRPr="00A212C4" w:rsidRDefault="00703D9D" w:rsidP="009E75D9">
            <w:pPr>
              <w:pStyle w:val="ListParagraph"/>
              <w:numPr>
                <w:ilvl w:val="0"/>
                <w:numId w:val="1"/>
              </w:numPr>
              <w:ind w:left="401" w:hanging="283"/>
              <w:rPr>
                <w:rFonts w:cs="Arial"/>
                <w:sz w:val="16"/>
                <w:szCs w:val="16"/>
              </w:rPr>
            </w:pPr>
            <w:r w:rsidRPr="00A212C4">
              <w:rPr>
                <w:rFonts w:cs="Arial"/>
                <w:sz w:val="16"/>
                <w:szCs w:val="16"/>
              </w:rPr>
              <w:t xml:space="preserve">support programs that increase opportunities to participate in community life </w:t>
            </w:r>
          </w:p>
          <w:p w14:paraId="3EE367DB" w14:textId="77777777" w:rsidR="00703D9D" w:rsidRPr="00A212C4" w:rsidRDefault="00703D9D" w:rsidP="009E75D9">
            <w:pPr>
              <w:pStyle w:val="ListParagraph"/>
              <w:numPr>
                <w:ilvl w:val="0"/>
                <w:numId w:val="1"/>
              </w:numPr>
              <w:ind w:left="401" w:hanging="283"/>
              <w:rPr>
                <w:rFonts w:cs="Arial"/>
                <w:sz w:val="16"/>
                <w:szCs w:val="16"/>
              </w:rPr>
            </w:pPr>
            <w:r w:rsidRPr="00A212C4">
              <w:rPr>
                <w:rFonts w:cs="Arial"/>
                <w:sz w:val="16"/>
                <w:szCs w:val="16"/>
              </w:rPr>
              <w:t>enable access and inclusion of culturally diverse groups and persons facing or at risk of social and economic disadvantage</w:t>
            </w:r>
          </w:p>
        </w:tc>
        <w:tc>
          <w:tcPr>
            <w:tcW w:w="2552" w:type="dxa"/>
          </w:tcPr>
          <w:p w14:paraId="3513FFEC"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community groups through grant programs to: </w:t>
            </w:r>
          </w:p>
          <w:p w14:paraId="5B4DBF86" w14:textId="77777777" w:rsidR="00703D9D" w:rsidRPr="00A212C4" w:rsidRDefault="00703D9D" w:rsidP="009E75D9">
            <w:pPr>
              <w:pStyle w:val="ListParagraph"/>
              <w:numPr>
                <w:ilvl w:val="0"/>
                <w:numId w:val="1"/>
              </w:numPr>
              <w:ind w:left="401" w:hanging="283"/>
              <w:rPr>
                <w:rFonts w:cs="Arial"/>
                <w:sz w:val="16"/>
                <w:szCs w:val="16"/>
              </w:rPr>
            </w:pPr>
            <w:r w:rsidRPr="00A212C4">
              <w:rPr>
                <w:rFonts w:cs="Arial"/>
                <w:sz w:val="16"/>
                <w:szCs w:val="16"/>
              </w:rPr>
              <w:t xml:space="preserve">strengthen and leverage the capacity of local groups and networks </w:t>
            </w:r>
          </w:p>
          <w:p w14:paraId="50B959C3" w14:textId="77777777" w:rsidR="00703D9D" w:rsidRPr="00A212C4" w:rsidRDefault="00703D9D" w:rsidP="009E75D9">
            <w:pPr>
              <w:pStyle w:val="ListParagraph"/>
              <w:numPr>
                <w:ilvl w:val="0"/>
                <w:numId w:val="1"/>
              </w:numPr>
              <w:ind w:left="401" w:hanging="283"/>
              <w:rPr>
                <w:rFonts w:cs="Arial"/>
                <w:sz w:val="16"/>
                <w:szCs w:val="16"/>
              </w:rPr>
            </w:pPr>
            <w:r w:rsidRPr="00A212C4">
              <w:rPr>
                <w:rFonts w:cs="Arial"/>
                <w:sz w:val="16"/>
                <w:szCs w:val="16"/>
              </w:rPr>
              <w:t xml:space="preserve">support programs that increase opportunities to participate in community life </w:t>
            </w:r>
          </w:p>
          <w:p w14:paraId="71B55EC2" w14:textId="77777777" w:rsidR="00703D9D" w:rsidRPr="00A212C4" w:rsidRDefault="00703D9D" w:rsidP="009E75D9">
            <w:pPr>
              <w:pStyle w:val="ListParagraph"/>
              <w:numPr>
                <w:ilvl w:val="0"/>
                <w:numId w:val="1"/>
              </w:numPr>
              <w:ind w:left="401" w:hanging="283"/>
              <w:rPr>
                <w:rFonts w:cs="Arial"/>
                <w:sz w:val="16"/>
                <w:szCs w:val="16"/>
              </w:rPr>
            </w:pPr>
            <w:r w:rsidRPr="00A212C4">
              <w:rPr>
                <w:rFonts w:cs="Arial"/>
                <w:sz w:val="16"/>
                <w:szCs w:val="16"/>
              </w:rPr>
              <w:t xml:space="preserve">increase participation for people underrepresented in existing sport and recreation opportunities in the City </w:t>
            </w:r>
          </w:p>
          <w:p w14:paraId="56013F46" w14:textId="77777777" w:rsidR="00703D9D" w:rsidRPr="00A212C4" w:rsidRDefault="00703D9D" w:rsidP="009E75D9">
            <w:pPr>
              <w:pStyle w:val="ListParagraph"/>
              <w:numPr>
                <w:ilvl w:val="0"/>
                <w:numId w:val="1"/>
              </w:numPr>
              <w:ind w:left="401" w:hanging="283"/>
              <w:rPr>
                <w:rFonts w:cs="Arial"/>
                <w:sz w:val="16"/>
                <w:szCs w:val="16"/>
              </w:rPr>
            </w:pPr>
            <w:r w:rsidRPr="00A212C4">
              <w:rPr>
                <w:rFonts w:cs="Arial"/>
                <w:sz w:val="16"/>
                <w:szCs w:val="16"/>
              </w:rPr>
              <w:t>enable access and inclusion of culturally diverse groups and persons facing or at risk of social and economic disadvantage</w:t>
            </w:r>
          </w:p>
        </w:tc>
        <w:tc>
          <w:tcPr>
            <w:tcW w:w="2409" w:type="dxa"/>
          </w:tcPr>
          <w:p w14:paraId="08E53195" w14:textId="77777777" w:rsidR="00703D9D" w:rsidRPr="00A212C4" w:rsidRDefault="00703D9D" w:rsidP="009E75D9">
            <w:pPr>
              <w:rPr>
                <w:rFonts w:ascii="Arial" w:hAnsi="Arial" w:cs="Arial"/>
                <w:sz w:val="16"/>
                <w:szCs w:val="16"/>
              </w:rPr>
            </w:pPr>
            <w:r w:rsidRPr="00A212C4">
              <w:rPr>
                <w:rFonts w:ascii="Arial" w:eastAsia="Calibri" w:hAnsi="Arial" w:cs="Arial"/>
                <w:sz w:val="16"/>
                <w:szCs w:val="16"/>
              </w:rPr>
              <w:t>Addition of “</w:t>
            </w:r>
            <w:r w:rsidRPr="00A212C4">
              <w:rPr>
                <w:rFonts w:ascii="Arial" w:eastAsia="Calibri" w:hAnsi="Arial" w:cs="Arial"/>
                <w:i/>
                <w:iCs/>
                <w:sz w:val="16"/>
                <w:szCs w:val="16"/>
              </w:rPr>
              <w:t>increase participation for people underrepresented in existing sport and recreation opportunities in the City”</w:t>
            </w:r>
            <w:r w:rsidRPr="00A212C4">
              <w:rPr>
                <w:rFonts w:ascii="Arial" w:eastAsia="Calibri" w:hAnsi="Arial" w:cs="Arial"/>
                <w:sz w:val="16"/>
                <w:szCs w:val="16"/>
              </w:rPr>
              <w:t xml:space="preserve"> to capture the service we currently provide.</w:t>
            </w:r>
          </w:p>
          <w:p w14:paraId="5BABC9BD" w14:textId="77777777" w:rsidR="00703D9D" w:rsidRPr="00A212C4" w:rsidRDefault="00703D9D" w:rsidP="009E75D9">
            <w:pPr>
              <w:rPr>
                <w:rFonts w:ascii="Arial" w:hAnsi="Arial" w:cs="Arial"/>
                <w:sz w:val="16"/>
                <w:szCs w:val="16"/>
              </w:rPr>
            </w:pP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7E1EF35E" w14:textId="77777777" w:rsidTr="007D55D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5C77EF6D" w14:textId="77777777" w:rsidR="00703D9D" w:rsidRPr="00A212C4" w:rsidRDefault="00703D9D" w:rsidP="009E75D9">
            <w:pPr>
              <w:rPr>
                <w:rFonts w:ascii="Arial" w:hAnsi="Arial" w:cs="Arial"/>
                <w:b w:val="0"/>
                <w:bCs w:val="0"/>
                <w:sz w:val="16"/>
                <w:szCs w:val="16"/>
              </w:rPr>
            </w:pPr>
            <w:r w:rsidRPr="00A212C4">
              <w:rPr>
                <w:rFonts w:ascii="Arial" w:hAnsi="Arial" w:cs="Arial"/>
                <w:b w:val="0"/>
                <w:bCs w:val="0"/>
                <w:sz w:val="16"/>
                <w:szCs w:val="16"/>
              </w:rPr>
              <w:t xml:space="preserve">Liveable – </w:t>
            </w:r>
            <w:r w:rsidRPr="00A212C4">
              <w:rPr>
                <w:rFonts w:ascii="Arial" w:hAnsi="Arial" w:cs="Arial"/>
                <w:sz w:val="16"/>
                <w:szCs w:val="16"/>
              </w:rPr>
              <w:t>We will provide:</w:t>
            </w:r>
          </w:p>
        </w:tc>
        <w:tc>
          <w:tcPr>
            <w:tcW w:w="2835" w:type="dxa"/>
            <w:shd w:val="clear" w:color="auto" w:fill="DEEAF6" w:themeFill="accent5" w:themeFillTint="33"/>
          </w:tcPr>
          <w:p w14:paraId="00290D3B"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access to upgraded, expanded, and well maintained public and outdoor spaces for people of all ages and abilities to visit, in line with our 10-year Public Space Strategy (once adopted by Council), prioritised within available budgets each year</w:t>
            </w:r>
          </w:p>
        </w:tc>
        <w:tc>
          <w:tcPr>
            <w:tcW w:w="2552" w:type="dxa"/>
            <w:shd w:val="clear" w:color="auto" w:fill="DEEAF6" w:themeFill="accent5" w:themeFillTint="33"/>
          </w:tcPr>
          <w:p w14:paraId="41ED41BD"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access to upgraded, expanded, and well-maintained public and outdoor spaces for people of all ages and abilities to visit, in line with our Places for People: Public Space Strategy 2022-32, prioritised within available budgets each year</w:t>
            </w:r>
          </w:p>
        </w:tc>
        <w:tc>
          <w:tcPr>
            <w:tcW w:w="2409" w:type="dxa"/>
            <w:shd w:val="clear" w:color="auto" w:fill="DEEAF6" w:themeFill="accent5" w:themeFillTint="33"/>
          </w:tcPr>
          <w:p w14:paraId="45FFB711"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Updated to show Places for People – Public Space strategy 2022-32 was adopted in early 2022.</w:t>
            </w:r>
          </w:p>
        </w:tc>
      </w:tr>
    </w:tbl>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0768B0D9" w14:textId="77777777" w:rsidTr="007D55D4">
        <w:trPr>
          <w:trHeight w:val="271"/>
        </w:trPr>
        <w:tc>
          <w:tcPr>
            <w:tcW w:w="1843" w:type="dxa"/>
            <w:shd w:val="clear" w:color="auto" w:fill="auto"/>
          </w:tcPr>
          <w:p w14:paraId="046B6872"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Liveable – </w:t>
            </w:r>
            <w:r w:rsidRPr="00A212C4">
              <w:rPr>
                <w:rFonts w:ascii="Arial" w:hAnsi="Arial" w:cs="Arial"/>
                <w:b/>
                <w:bCs/>
                <w:sz w:val="16"/>
                <w:szCs w:val="16"/>
              </w:rPr>
              <w:t>We will provide:</w:t>
            </w:r>
          </w:p>
        </w:tc>
        <w:tc>
          <w:tcPr>
            <w:tcW w:w="2835" w:type="dxa"/>
            <w:shd w:val="clear" w:color="auto" w:fill="auto"/>
          </w:tcPr>
          <w:p w14:paraId="2792844E" w14:textId="77777777" w:rsidR="00703D9D" w:rsidRPr="00A212C4" w:rsidRDefault="00703D9D" w:rsidP="009E75D9">
            <w:pPr>
              <w:rPr>
                <w:rFonts w:ascii="Arial" w:hAnsi="Arial" w:cs="Arial"/>
                <w:sz w:val="16"/>
                <w:szCs w:val="16"/>
              </w:rPr>
            </w:pPr>
            <w:r w:rsidRPr="00A212C4">
              <w:rPr>
                <w:rFonts w:ascii="Arial" w:hAnsi="Arial" w:cs="Arial"/>
                <w:sz w:val="16"/>
                <w:szCs w:val="16"/>
              </w:rPr>
              <w:t>public space projects that reduce crime and increase community safety through the application of Crime Prevention Through Design</w:t>
            </w:r>
          </w:p>
          <w:p w14:paraId="3AEA623A" w14:textId="77777777" w:rsidR="00703D9D" w:rsidRPr="00A212C4" w:rsidRDefault="00703D9D" w:rsidP="009E75D9">
            <w:pPr>
              <w:rPr>
                <w:rFonts w:ascii="Arial" w:hAnsi="Arial" w:cs="Arial"/>
                <w:sz w:val="16"/>
                <w:szCs w:val="16"/>
              </w:rPr>
            </w:pPr>
            <w:r w:rsidRPr="00A212C4">
              <w:rPr>
                <w:rFonts w:ascii="Arial" w:hAnsi="Arial" w:cs="Arial"/>
                <w:sz w:val="16"/>
                <w:szCs w:val="16"/>
              </w:rPr>
              <w:t>Environmental Principles to projects</w:t>
            </w:r>
          </w:p>
          <w:p w14:paraId="4CC72642" w14:textId="77777777" w:rsidR="00703D9D" w:rsidRPr="00A212C4" w:rsidRDefault="00703D9D" w:rsidP="009E75D9">
            <w:pPr>
              <w:rPr>
                <w:rFonts w:ascii="Arial" w:hAnsi="Arial" w:cs="Arial"/>
                <w:sz w:val="16"/>
                <w:szCs w:val="16"/>
              </w:rPr>
            </w:pPr>
            <w:r w:rsidRPr="00A212C4">
              <w:rPr>
                <w:rFonts w:ascii="Arial" w:hAnsi="Arial" w:cs="Arial"/>
                <w:sz w:val="16"/>
                <w:szCs w:val="16"/>
              </w:rPr>
              <w:t>and</w:t>
            </w:r>
          </w:p>
          <w:p w14:paraId="0F138DFE" w14:textId="77777777" w:rsidR="00703D9D" w:rsidRPr="00A212C4" w:rsidRDefault="00703D9D" w:rsidP="009E75D9">
            <w:pPr>
              <w:rPr>
                <w:rFonts w:ascii="Arial" w:hAnsi="Arial" w:cs="Arial"/>
                <w:sz w:val="16"/>
                <w:szCs w:val="16"/>
              </w:rPr>
            </w:pPr>
            <w:r w:rsidRPr="00A212C4">
              <w:rPr>
                <w:rFonts w:ascii="Arial" w:hAnsi="Arial" w:cs="Arial"/>
                <w:sz w:val="16"/>
                <w:szCs w:val="16"/>
              </w:rPr>
              <w:t>inspection, maintenance and replacement of globes in Council managed public lighting to ensure spaces are safely lit</w:t>
            </w:r>
          </w:p>
        </w:tc>
        <w:tc>
          <w:tcPr>
            <w:tcW w:w="2552" w:type="dxa"/>
            <w:shd w:val="clear" w:color="auto" w:fill="auto"/>
          </w:tcPr>
          <w:p w14:paraId="7C3AFED8" w14:textId="77777777" w:rsidR="00703D9D" w:rsidRPr="00A212C4" w:rsidRDefault="00703D9D" w:rsidP="009E75D9">
            <w:pPr>
              <w:tabs>
                <w:tab w:val="left" w:pos="720"/>
              </w:tabs>
              <w:rPr>
                <w:rFonts w:ascii="Arial" w:hAnsi="Arial" w:cs="Arial"/>
                <w:sz w:val="16"/>
                <w:szCs w:val="16"/>
              </w:rPr>
            </w:pPr>
            <w:r w:rsidRPr="00A212C4">
              <w:rPr>
                <w:rFonts w:ascii="Arial" w:eastAsia="Yu Mincho" w:hAnsi="Arial" w:cs="Arial"/>
                <w:sz w:val="16"/>
                <w:szCs w:val="16"/>
              </w:rPr>
              <w:t>public space projects that reduce crime and increase community safety through the application of Crime Prevention through Environmental Design Principles to projects. Including maintaining and replacing Council managed public lighting to ensure spaces are safely lit.</w:t>
            </w:r>
          </w:p>
          <w:p w14:paraId="7E4F9FCC" w14:textId="77777777" w:rsidR="00703D9D" w:rsidRPr="00A212C4" w:rsidRDefault="00703D9D" w:rsidP="009E75D9">
            <w:pPr>
              <w:rPr>
                <w:rFonts w:ascii="Arial" w:hAnsi="Arial" w:cs="Arial"/>
                <w:sz w:val="16"/>
                <w:szCs w:val="16"/>
              </w:rPr>
            </w:pPr>
          </w:p>
        </w:tc>
        <w:tc>
          <w:tcPr>
            <w:tcW w:w="2409" w:type="dxa"/>
            <w:shd w:val="clear" w:color="auto" w:fill="auto"/>
          </w:tcPr>
          <w:p w14:paraId="4FB254B6" w14:textId="77777777" w:rsidR="00703D9D" w:rsidRPr="00A212C4" w:rsidRDefault="00703D9D" w:rsidP="009E75D9">
            <w:pPr>
              <w:rPr>
                <w:rFonts w:ascii="Arial" w:hAnsi="Arial" w:cs="Arial"/>
                <w:sz w:val="16"/>
                <w:szCs w:val="16"/>
              </w:rPr>
            </w:pPr>
            <w:r w:rsidRPr="00A212C4">
              <w:rPr>
                <w:rFonts w:ascii="Arial" w:hAnsi="Arial" w:cs="Arial"/>
                <w:sz w:val="16"/>
                <w:szCs w:val="16"/>
              </w:rPr>
              <w:t>Initiatives combined and refined as they reflect the same intention of action for public safety.</w:t>
            </w: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5BDE9EBA" w14:textId="77777777" w:rsidTr="007D55D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5655296E" w14:textId="77777777" w:rsidR="00703D9D" w:rsidRPr="00A212C4" w:rsidRDefault="00703D9D" w:rsidP="009E75D9">
            <w:pPr>
              <w:rPr>
                <w:rFonts w:ascii="Arial" w:hAnsi="Arial" w:cs="Arial"/>
                <w:b w:val="0"/>
                <w:bCs w:val="0"/>
                <w:sz w:val="16"/>
                <w:szCs w:val="16"/>
              </w:rPr>
            </w:pPr>
            <w:r w:rsidRPr="00A212C4">
              <w:rPr>
                <w:rFonts w:ascii="Arial" w:hAnsi="Arial" w:cs="Arial"/>
                <w:b w:val="0"/>
                <w:bCs w:val="0"/>
                <w:sz w:val="16"/>
                <w:szCs w:val="16"/>
              </w:rPr>
              <w:t xml:space="preserve">Liveable – </w:t>
            </w:r>
            <w:r w:rsidRPr="00A212C4">
              <w:rPr>
                <w:rFonts w:ascii="Arial" w:hAnsi="Arial" w:cs="Arial"/>
                <w:sz w:val="16"/>
                <w:szCs w:val="16"/>
              </w:rPr>
              <w:t>We will provide:</w:t>
            </w:r>
          </w:p>
        </w:tc>
        <w:tc>
          <w:tcPr>
            <w:tcW w:w="2835" w:type="dxa"/>
            <w:shd w:val="clear" w:color="auto" w:fill="DEEAF6" w:themeFill="accent5" w:themeFillTint="33"/>
          </w:tcPr>
          <w:p w14:paraId="1C234E6F"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investment in an ongoing program of renewals and improvements to laneways, roads, footpaths, and street signage to ensure our City is easy and safer to move around including St Kilda Junction footpath improvements by the end of 2021/22</w:t>
            </w:r>
          </w:p>
        </w:tc>
        <w:tc>
          <w:tcPr>
            <w:tcW w:w="2552" w:type="dxa"/>
            <w:shd w:val="clear" w:color="auto" w:fill="DEEAF6" w:themeFill="accent5" w:themeFillTint="33"/>
          </w:tcPr>
          <w:p w14:paraId="1184BA44" w14:textId="77777777" w:rsidR="00703D9D" w:rsidRPr="00A212C4" w:rsidRDefault="00703D9D" w:rsidP="009E75D9">
            <w:pPr>
              <w:tabs>
                <w:tab w:val="left" w:pos="720"/>
              </w:tabs>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16"/>
                <w:szCs w:val="16"/>
              </w:rPr>
            </w:pPr>
            <w:r w:rsidRPr="00A212C4">
              <w:rPr>
                <w:rFonts w:ascii="Arial" w:eastAsia="Yu Mincho" w:hAnsi="Arial" w:cs="Arial"/>
                <w:b w:val="0"/>
                <w:bCs w:val="0"/>
                <w:sz w:val="16"/>
                <w:szCs w:val="16"/>
              </w:rPr>
              <w:t xml:space="preserve">investment in an ongoing program of renewals and improvements to laneways, roads, footpaths, and street signage, </w:t>
            </w:r>
            <w:r w:rsidRPr="00A212C4">
              <w:rPr>
                <w:rFonts w:ascii="Arial" w:eastAsia="Yu Mincho" w:hAnsi="Arial" w:cs="Arial"/>
                <w:b w:val="0"/>
                <w:bCs w:val="0"/>
                <w:sz w:val="16"/>
                <w:szCs w:val="16"/>
                <w:u w:val="single"/>
              </w:rPr>
              <w:t>de-cluttering wherever possible</w:t>
            </w:r>
            <w:r w:rsidRPr="00A212C4">
              <w:rPr>
                <w:rFonts w:ascii="Arial" w:eastAsia="Yu Mincho" w:hAnsi="Arial" w:cs="Arial"/>
                <w:b w:val="0"/>
                <w:bCs w:val="0"/>
                <w:sz w:val="16"/>
                <w:szCs w:val="16"/>
              </w:rPr>
              <w:t>, to ensure our City is easy and safer to move around including St Kilda Junction footpath improvements by the end of 2021/22</w:t>
            </w:r>
          </w:p>
        </w:tc>
        <w:tc>
          <w:tcPr>
            <w:tcW w:w="2409" w:type="dxa"/>
            <w:shd w:val="clear" w:color="auto" w:fill="DEEAF6" w:themeFill="accent5" w:themeFillTint="33"/>
          </w:tcPr>
          <w:p w14:paraId="2BEA7030"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Encompasses community and Business Advisory Group feedback around de-cluttering of signage.</w:t>
            </w:r>
          </w:p>
        </w:tc>
      </w:tr>
    </w:tbl>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0D27E689" w14:textId="77777777" w:rsidTr="007D55D4">
        <w:trPr>
          <w:trHeight w:val="271"/>
        </w:trPr>
        <w:tc>
          <w:tcPr>
            <w:tcW w:w="1843" w:type="dxa"/>
          </w:tcPr>
          <w:p w14:paraId="067C35BE"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Liveable – </w:t>
            </w:r>
            <w:r w:rsidRPr="00A212C4">
              <w:rPr>
                <w:rFonts w:ascii="Arial" w:hAnsi="Arial" w:cs="Arial"/>
                <w:b/>
                <w:bCs/>
                <w:sz w:val="16"/>
                <w:szCs w:val="16"/>
              </w:rPr>
              <w:t>We will provide:</w:t>
            </w:r>
          </w:p>
        </w:tc>
        <w:tc>
          <w:tcPr>
            <w:tcW w:w="2835" w:type="dxa"/>
          </w:tcPr>
          <w:p w14:paraId="66266A46" w14:textId="77777777" w:rsidR="00703D9D" w:rsidRPr="00A212C4" w:rsidRDefault="00703D9D" w:rsidP="009E75D9">
            <w:pPr>
              <w:rPr>
                <w:rFonts w:ascii="Arial" w:hAnsi="Arial" w:cs="Arial"/>
                <w:sz w:val="16"/>
                <w:szCs w:val="16"/>
              </w:rPr>
            </w:pPr>
            <w:r w:rsidRPr="00A212C4">
              <w:rPr>
                <w:rFonts w:ascii="Arial" w:hAnsi="Arial" w:cs="Arial"/>
                <w:sz w:val="16"/>
                <w:szCs w:val="16"/>
              </w:rPr>
              <w:t>enhancements to our public realm including local area traffic management, pedestrian and bike riding safety projects, improved lighting and management of vehicle access to improve safety for everyone throughout our City</w:t>
            </w:r>
          </w:p>
        </w:tc>
        <w:tc>
          <w:tcPr>
            <w:tcW w:w="2552" w:type="dxa"/>
          </w:tcPr>
          <w:p w14:paraId="6AC7FEBB"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enhancements to our public realm including local area traffic management, pedestrian and bike riding safety projects, improved lighting and management of vehicle access to improve safety for everyone throughout our City, </w:t>
            </w:r>
            <w:r w:rsidRPr="00A212C4">
              <w:rPr>
                <w:rFonts w:ascii="Arial" w:hAnsi="Arial" w:cs="Arial"/>
                <w:sz w:val="16"/>
                <w:szCs w:val="16"/>
                <w:u w:val="single"/>
              </w:rPr>
              <w:t xml:space="preserve">including investigating options to simplify vehicle movements to improve safety for all road users at the </w:t>
            </w:r>
            <w:r w:rsidRPr="00A212C4">
              <w:rPr>
                <w:rFonts w:ascii="Arial" w:hAnsi="Arial" w:cs="Arial"/>
                <w:sz w:val="16"/>
                <w:szCs w:val="16"/>
                <w:u w:val="single"/>
              </w:rPr>
              <w:lastRenderedPageBreak/>
              <w:t xml:space="preserve">intersection of </w:t>
            </w:r>
            <w:proofErr w:type="spellStart"/>
            <w:r w:rsidRPr="00A212C4">
              <w:rPr>
                <w:rFonts w:ascii="Arial" w:hAnsi="Arial" w:cs="Arial"/>
                <w:sz w:val="16"/>
                <w:szCs w:val="16"/>
                <w:u w:val="single"/>
              </w:rPr>
              <w:t>Liardet</w:t>
            </w:r>
            <w:proofErr w:type="spellEnd"/>
            <w:r w:rsidRPr="00A212C4">
              <w:rPr>
                <w:rFonts w:ascii="Arial" w:hAnsi="Arial" w:cs="Arial"/>
                <w:sz w:val="16"/>
                <w:szCs w:val="16"/>
                <w:u w:val="single"/>
              </w:rPr>
              <w:t xml:space="preserve"> Street and Bay Street, Port Melbourne</w:t>
            </w:r>
          </w:p>
        </w:tc>
        <w:tc>
          <w:tcPr>
            <w:tcW w:w="2409" w:type="dxa"/>
          </w:tcPr>
          <w:p w14:paraId="15843D14" w14:textId="77777777" w:rsidR="00703D9D" w:rsidRPr="00A212C4" w:rsidRDefault="00703D9D" w:rsidP="009E75D9">
            <w:pPr>
              <w:rPr>
                <w:rFonts w:ascii="Arial" w:hAnsi="Arial" w:cs="Arial"/>
                <w:sz w:val="16"/>
                <w:szCs w:val="16"/>
              </w:rPr>
            </w:pPr>
            <w:r w:rsidRPr="00A212C4">
              <w:rPr>
                <w:rFonts w:ascii="Arial" w:hAnsi="Arial" w:cs="Arial"/>
                <w:sz w:val="16"/>
                <w:szCs w:val="16"/>
              </w:rPr>
              <w:lastRenderedPageBreak/>
              <w:t>Addition of specific location to target, based on community and councillor requests.</w:t>
            </w: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234B8E6F" w14:textId="77777777" w:rsidTr="007D55D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4EC3C712" w14:textId="77777777" w:rsidR="00703D9D" w:rsidRPr="00A212C4" w:rsidRDefault="00703D9D" w:rsidP="009E75D9">
            <w:pPr>
              <w:rPr>
                <w:rFonts w:ascii="Arial" w:hAnsi="Arial" w:cs="Arial"/>
                <w:b w:val="0"/>
                <w:bCs w:val="0"/>
                <w:sz w:val="16"/>
                <w:szCs w:val="16"/>
              </w:rPr>
            </w:pPr>
            <w:r w:rsidRPr="00A212C4">
              <w:rPr>
                <w:rFonts w:ascii="Arial" w:hAnsi="Arial" w:cs="Arial"/>
                <w:b w:val="0"/>
                <w:bCs w:val="0"/>
                <w:sz w:val="16"/>
                <w:szCs w:val="16"/>
              </w:rPr>
              <w:t xml:space="preserve">Liveable – </w:t>
            </w:r>
            <w:r w:rsidRPr="00A212C4">
              <w:rPr>
                <w:rFonts w:ascii="Arial" w:hAnsi="Arial" w:cs="Arial"/>
                <w:sz w:val="16"/>
                <w:szCs w:val="16"/>
              </w:rPr>
              <w:t>We will provide:</w:t>
            </w:r>
          </w:p>
        </w:tc>
        <w:tc>
          <w:tcPr>
            <w:tcW w:w="2835" w:type="dxa"/>
            <w:shd w:val="clear" w:color="auto" w:fill="DEEAF6" w:themeFill="accent5" w:themeFillTint="33"/>
          </w:tcPr>
          <w:p w14:paraId="47B8EB4F"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improvements to the way people move around our City by delivering on commitments outlined in Council’s ‘Move, Connect, Live Strategy’ including walking, bike riding and shared transport projects such as the Garden City Bike Corridor by 2021/22, prioritised in line with available funding each year</w:t>
            </w:r>
          </w:p>
        </w:tc>
        <w:tc>
          <w:tcPr>
            <w:tcW w:w="2552" w:type="dxa"/>
            <w:shd w:val="clear" w:color="auto" w:fill="DEEAF6" w:themeFill="accent5" w:themeFillTint="33"/>
          </w:tcPr>
          <w:p w14:paraId="1C281383" w14:textId="77777777" w:rsidR="00703D9D" w:rsidRPr="00A212C4" w:rsidRDefault="00703D9D" w:rsidP="009E75D9">
            <w:pPr>
              <w:tabs>
                <w:tab w:val="left" w:pos="720"/>
              </w:tabs>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16"/>
                <w:szCs w:val="16"/>
              </w:rPr>
            </w:pPr>
            <w:r w:rsidRPr="00A212C4">
              <w:rPr>
                <w:rFonts w:ascii="Arial" w:hAnsi="Arial" w:cs="Arial"/>
                <w:b w:val="0"/>
                <w:bCs w:val="0"/>
                <w:sz w:val="16"/>
                <w:szCs w:val="16"/>
              </w:rPr>
              <w:t xml:space="preserve">improvements to the way people move around our City by delivering on commitments outlined in Council’s ‘Move, Connect, Live Strategy’ including </w:t>
            </w:r>
            <w:r w:rsidRPr="00A212C4">
              <w:rPr>
                <w:rFonts w:ascii="Arial" w:eastAsia="@MS PMincho" w:hAnsi="Arial" w:cs="Arial"/>
                <w:b w:val="0"/>
                <w:bCs w:val="0"/>
                <w:sz w:val="16"/>
                <w:szCs w:val="16"/>
              </w:rPr>
              <w:t>walking, bike riding</w:t>
            </w:r>
            <w:r w:rsidRPr="00A212C4">
              <w:rPr>
                <w:rFonts w:ascii="Arial" w:hAnsi="Arial" w:cs="Arial"/>
                <w:b w:val="0"/>
                <w:bCs w:val="0"/>
                <w:sz w:val="16"/>
                <w:szCs w:val="16"/>
              </w:rPr>
              <w:t xml:space="preserve"> and shared transport projects including the </w:t>
            </w:r>
            <w:r w:rsidRPr="00A212C4">
              <w:rPr>
                <w:rFonts w:ascii="Arial" w:hAnsi="Arial" w:cs="Arial"/>
                <w:b w:val="0"/>
                <w:bCs w:val="0"/>
                <w:sz w:val="16"/>
                <w:szCs w:val="16"/>
                <w:u w:val="single"/>
              </w:rPr>
              <w:t>Park Street Streetscape Improvement Project by 2022/23,</w:t>
            </w:r>
            <w:r w:rsidRPr="00A212C4">
              <w:rPr>
                <w:rFonts w:ascii="Arial" w:hAnsi="Arial" w:cs="Arial"/>
                <w:b w:val="0"/>
                <w:bCs w:val="0"/>
                <w:sz w:val="16"/>
                <w:szCs w:val="16"/>
              </w:rPr>
              <w:t xml:space="preserve"> prioritised in line with available funding each year</w:t>
            </w:r>
          </w:p>
        </w:tc>
        <w:tc>
          <w:tcPr>
            <w:tcW w:w="2409" w:type="dxa"/>
            <w:shd w:val="clear" w:color="auto" w:fill="DEEAF6" w:themeFill="accent5" w:themeFillTint="33"/>
          </w:tcPr>
          <w:p w14:paraId="48814BF3"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Major project listed updated in line with Budget for 2022-23</w:t>
            </w:r>
          </w:p>
        </w:tc>
      </w:tr>
    </w:tbl>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18944D51" w14:textId="77777777" w:rsidTr="007D55D4">
        <w:trPr>
          <w:trHeight w:val="271"/>
        </w:trPr>
        <w:tc>
          <w:tcPr>
            <w:tcW w:w="1843" w:type="dxa"/>
          </w:tcPr>
          <w:p w14:paraId="24A3F40B" w14:textId="77777777" w:rsidR="00703D9D" w:rsidRPr="00A212C4" w:rsidRDefault="00703D9D" w:rsidP="009E75D9">
            <w:pPr>
              <w:rPr>
                <w:rFonts w:ascii="Arial" w:hAnsi="Arial" w:cs="Arial"/>
                <w:sz w:val="16"/>
                <w:szCs w:val="16"/>
              </w:rPr>
            </w:pPr>
            <w:r w:rsidRPr="00A212C4">
              <w:rPr>
                <w:rFonts w:ascii="Arial" w:hAnsi="Arial" w:cs="Arial"/>
                <w:sz w:val="16"/>
                <w:szCs w:val="16"/>
              </w:rPr>
              <w:t xml:space="preserve">Liveable – </w:t>
            </w:r>
            <w:r w:rsidRPr="00A212C4">
              <w:rPr>
                <w:rFonts w:ascii="Arial" w:hAnsi="Arial" w:cs="Arial"/>
                <w:b/>
                <w:bCs/>
                <w:sz w:val="16"/>
                <w:szCs w:val="16"/>
              </w:rPr>
              <w:t>We will provide:</w:t>
            </w:r>
          </w:p>
        </w:tc>
        <w:tc>
          <w:tcPr>
            <w:tcW w:w="2835" w:type="dxa"/>
          </w:tcPr>
          <w:p w14:paraId="40D61AEB" w14:textId="77777777" w:rsidR="00703D9D" w:rsidRPr="00A212C4" w:rsidRDefault="00703D9D" w:rsidP="009E75D9">
            <w:pPr>
              <w:rPr>
                <w:rFonts w:ascii="Arial" w:hAnsi="Arial" w:cs="Arial"/>
                <w:sz w:val="16"/>
                <w:szCs w:val="16"/>
              </w:rPr>
            </w:pPr>
            <w:r w:rsidRPr="00A212C4">
              <w:rPr>
                <w:rFonts w:ascii="Arial" w:hAnsi="Arial" w:cs="Arial"/>
                <w:sz w:val="16"/>
                <w:szCs w:val="16"/>
              </w:rPr>
              <w:t>animal Management Services and development of a new Domestic Animal Management Plan 2022-25 to support pet owners to care for their pets, and to improve responsible pet ownership, thereby</w:t>
            </w:r>
          </w:p>
          <w:p w14:paraId="70D389CD" w14:textId="77777777" w:rsidR="00703D9D" w:rsidRPr="00A212C4" w:rsidRDefault="00703D9D" w:rsidP="009E75D9">
            <w:pPr>
              <w:rPr>
                <w:rFonts w:ascii="Arial" w:hAnsi="Arial" w:cs="Arial"/>
                <w:sz w:val="16"/>
                <w:szCs w:val="16"/>
              </w:rPr>
            </w:pPr>
            <w:r w:rsidRPr="00A212C4">
              <w:rPr>
                <w:rFonts w:ascii="Arial" w:hAnsi="Arial" w:cs="Arial"/>
                <w:sz w:val="16"/>
                <w:szCs w:val="16"/>
              </w:rPr>
              <w:t>enhancing the safety and wellbeing of the wider community</w:t>
            </w:r>
          </w:p>
        </w:tc>
        <w:tc>
          <w:tcPr>
            <w:tcW w:w="2552" w:type="dxa"/>
          </w:tcPr>
          <w:p w14:paraId="7E5A74E8" w14:textId="77777777" w:rsidR="00703D9D" w:rsidRPr="00A212C4" w:rsidRDefault="00703D9D" w:rsidP="009E75D9">
            <w:pPr>
              <w:tabs>
                <w:tab w:val="left" w:pos="720"/>
              </w:tabs>
              <w:rPr>
                <w:rFonts w:ascii="Arial" w:hAnsi="Arial" w:cs="Arial"/>
                <w:sz w:val="16"/>
                <w:szCs w:val="16"/>
                <w:u w:val="single"/>
              </w:rPr>
            </w:pPr>
            <w:r w:rsidRPr="00A212C4">
              <w:rPr>
                <w:rFonts w:ascii="Arial" w:eastAsia="Calibri" w:hAnsi="Arial" w:cs="Arial"/>
                <w:sz w:val="16"/>
                <w:szCs w:val="16"/>
              </w:rPr>
              <w:t xml:space="preserve">animal Management Services and </w:t>
            </w:r>
            <w:r w:rsidRPr="00A212C4">
              <w:rPr>
                <w:rFonts w:ascii="Arial" w:eastAsia="Calibri" w:hAnsi="Arial" w:cs="Arial"/>
                <w:sz w:val="16"/>
                <w:szCs w:val="16"/>
                <w:u w:val="single"/>
              </w:rPr>
              <w:t>implementation of</w:t>
            </w:r>
            <w:r w:rsidRPr="00A212C4">
              <w:rPr>
                <w:rFonts w:ascii="Arial" w:eastAsia="Calibri" w:hAnsi="Arial" w:cs="Arial"/>
                <w:sz w:val="16"/>
                <w:szCs w:val="16"/>
              </w:rPr>
              <w:t xml:space="preserve"> the Domestic Animal Management Plan 2022-2025 to support pet owners to care for their pets, and to improve responsible pet ownership, thereby enhancing the safety and wellbeing of the wider community</w:t>
            </w:r>
            <w:r w:rsidRPr="00A212C4">
              <w:rPr>
                <w:rFonts w:ascii="Arial" w:eastAsia="Calibri" w:hAnsi="Arial" w:cs="Arial"/>
                <w:sz w:val="16"/>
                <w:szCs w:val="16"/>
                <w:u w:val="single"/>
              </w:rPr>
              <w:t>,</w:t>
            </w:r>
            <w:r w:rsidRPr="00A212C4">
              <w:rPr>
                <w:rFonts w:ascii="Arial" w:hAnsi="Arial" w:cs="Arial"/>
                <w:sz w:val="16"/>
                <w:szCs w:val="16"/>
                <w:u w:val="single"/>
              </w:rPr>
              <w:t xml:space="preserve"> including the development of dog off-leash guidelines </w:t>
            </w:r>
          </w:p>
        </w:tc>
        <w:tc>
          <w:tcPr>
            <w:tcW w:w="2409" w:type="dxa"/>
          </w:tcPr>
          <w:p w14:paraId="6F43D6CC" w14:textId="77777777" w:rsidR="00703D9D" w:rsidRPr="00A212C4" w:rsidRDefault="00703D9D" w:rsidP="009E75D9">
            <w:pPr>
              <w:rPr>
                <w:rFonts w:ascii="Arial" w:hAnsi="Arial" w:cs="Arial"/>
                <w:sz w:val="16"/>
                <w:szCs w:val="16"/>
              </w:rPr>
            </w:pPr>
            <w:r w:rsidRPr="00A212C4">
              <w:rPr>
                <w:rFonts w:ascii="Arial" w:hAnsi="Arial" w:cs="Arial"/>
                <w:sz w:val="16"/>
                <w:szCs w:val="16"/>
              </w:rPr>
              <w:t>Changed to reflect the adoption of the Domestic Animal Management plan in November 2021</w:t>
            </w: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1A481CCA" w14:textId="77777777" w:rsidTr="007D55D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0C66E3FC" w14:textId="77777777" w:rsidR="00703D9D" w:rsidRPr="00A212C4" w:rsidRDefault="00703D9D" w:rsidP="009E75D9">
            <w:pPr>
              <w:rPr>
                <w:rFonts w:ascii="Arial" w:hAnsi="Arial" w:cs="Arial"/>
                <w:b w:val="0"/>
                <w:bCs w:val="0"/>
                <w:sz w:val="16"/>
                <w:szCs w:val="16"/>
              </w:rPr>
            </w:pPr>
            <w:r w:rsidRPr="00A212C4">
              <w:rPr>
                <w:rFonts w:ascii="Arial" w:hAnsi="Arial" w:cs="Arial"/>
                <w:b w:val="0"/>
                <w:bCs w:val="0"/>
                <w:sz w:val="16"/>
                <w:szCs w:val="16"/>
              </w:rPr>
              <w:t xml:space="preserve">Liveable – </w:t>
            </w:r>
            <w:r w:rsidRPr="00A212C4">
              <w:rPr>
                <w:rFonts w:ascii="Arial" w:hAnsi="Arial" w:cs="Arial"/>
                <w:sz w:val="16"/>
                <w:szCs w:val="16"/>
              </w:rPr>
              <w:t>We will partner with:</w:t>
            </w:r>
          </w:p>
        </w:tc>
        <w:tc>
          <w:tcPr>
            <w:tcW w:w="2835" w:type="dxa"/>
            <w:shd w:val="clear" w:color="auto" w:fill="DEEAF6" w:themeFill="accent5" w:themeFillTint="33"/>
          </w:tcPr>
          <w:p w14:paraId="6244FFEE"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Victoria Police and our community to undertake activities that improve the actual and perceived safety</w:t>
            </w:r>
          </w:p>
          <w:p w14:paraId="0C1B2EF2"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of our municipality</w:t>
            </w:r>
          </w:p>
        </w:tc>
        <w:tc>
          <w:tcPr>
            <w:tcW w:w="2552" w:type="dxa"/>
            <w:shd w:val="clear" w:color="auto" w:fill="DEEAF6" w:themeFill="accent5" w:themeFillTint="33"/>
          </w:tcPr>
          <w:p w14:paraId="09E4B975" w14:textId="77777777" w:rsidR="00703D9D" w:rsidRPr="00A212C4" w:rsidRDefault="00703D9D" w:rsidP="009E75D9">
            <w:pPr>
              <w:tabs>
                <w:tab w:val="left" w:pos="720"/>
              </w:tabs>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6"/>
                <w:szCs w:val="16"/>
              </w:rPr>
            </w:pPr>
            <w:r w:rsidRPr="00A212C4">
              <w:rPr>
                <w:rFonts w:ascii="Arial" w:hAnsi="Arial" w:cs="Arial"/>
                <w:b w:val="0"/>
                <w:bCs w:val="0"/>
                <w:sz w:val="16"/>
                <w:szCs w:val="16"/>
              </w:rPr>
              <w:t xml:space="preserve">Victoria Police and our community to undertake activities that improve the actual and perceived safety of our municipality, </w:t>
            </w:r>
            <w:r w:rsidRPr="00A212C4">
              <w:rPr>
                <w:rFonts w:ascii="Arial" w:hAnsi="Arial" w:cs="Arial"/>
                <w:b w:val="0"/>
                <w:bCs w:val="0"/>
                <w:sz w:val="16"/>
                <w:szCs w:val="16"/>
                <w:u w:val="single"/>
              </w:rPr>
              <w:t>including measures to address hooning</w:t>
            </w:r>
          </w:p>
        </w:tc>
        <w:tc>
          <w:tcPr>
            <w:tcW w:w="2409" w:type="dxa"/>
            <w:shd w:val="clear" w:color="auto" w:fill="DEEAF6" w:themeFill="accent5" w:themeFillTint="33"/>
          </w:tcPr>
          <w:p w14:paraId="26AB722E"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Updated for Council to advocate for hooning to be addressed as an issue for the community.</w:t>
            </w:r>
          </w:p>
        </w:tc>
      </w:tr>
    </w:tbl>
    <w:tbl>
      <w:tblPr>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2610033B" w14:textId="77777777" w:rsidTr="007D55D4">
        <w:trPr>
          <w:trHeight w:val="271"/>
        </w:trPr>
        <w:tc>
          <w:tcPr>
            <w:tcW w:w="1843" w:type="dxa"/>
          </w:tcPr>
          <w:p w14:paraId="5B852F33" w14:textId="77777777" w:rsidR="00703D9D" w:rsidRPr="00A212C4" w:rsidRDefault="00703D9D" w:rsidP="009E75D9">
            <w:pPr>
              <w:rPr>
                <w:rFonts w:ascii="Arial" w:hAnsi="Arial" w:cs="Arial"/>
                <w:sz w:val="16"/>
                <w:szCs w:val="16"/>
              </w:rPr>
            </w:pPr>
            <w:r w:rsidRPr="00A212C4">
              <w:rPr>
                <w:rFonts w:ascii="Arial" w:hAnsi="Arial" w:cs="Arial"/>
                <w:sz w:val="16"/>
                <w:szCs w:val="16"/>
              </w:rPr>
              <w:t>Liveable</w:t>
            </w:r>
            <w:r w:rsidRPr="00A212C4">
              <w:rPr>
                <w:rFonts w:ascii="Arial" w:hAnsi="Arial" w:cs="Arial"/>
                <w:b/>
                <w:bCs/>
                <w:sz w:val="16"/>
                <w:szCs w:val="16"/>
              </w:rPr>
              <w:t xml:space="preserve"> </w:t>
            </w:r>
            <w:r w:rsidRPr="00A212C4">
              <w:rPr>
                <w:rFonts w:ascii="Arial" w:hAnsi="Arial" w:cs="Arial"/>
                <w:sz w:val="16"/>
                <w:szCs w:val="16"/>
              </w:rPr>
              <w:t xml:space="preserve">– </w:t>
            </w:r>
            <w:r w:rsidRPr="00A212C4">
              <w:rPr>
                <w:rFonts w:ascii="Arial" w:hAnsi="Arial" w:cs="Arial"/>
                <w:b/>
                <w:bCs/>
                <w:sz w:val="16"/>
                <w:szCs w:val="16"/>
              </w:rPr>
              <w:t>We will partner with:</w:t>
            </w:r>
          </w:p>
        </w:tc>
        <w:tc>
          <w:tcPr>
            <w:tcW w:w="2835" w:type="dxa"/>
          </w:tcPr>
          <w:p w14:paraId="1F708BC0" w14:textId="77777777" w:rsidR="00703D9D" w:rsidRPr="00A212C4" w:rsidRDefault="00703D9D" w:rsidP="009E75D9">
            <w:pPr>
              <w:rPr>
                <w:rFonts w:ascii="Arial" w:hAnsi="Arial" w:cs="Arial"/>
                <w:sz w:val="16"/>
                <w:szCs w:val="16"/>
              </w:rPr>
            </w:pPr>
            <w:r w:rsidRPr="00A212C4">
              <w:rPr>
                <w:rFonts w:ascii="Arial" w:hAnsi="Arial" w:cs="Arial"/>
                <w:sz w:val="16"/>
                <w:szCs w:val="16"/>
              </w:rPr>
              <w:t>NEW</w:t>
            </w:r>
          </w:p>
        </w:tc>
        <w:tc>
          <w:tcPr>
            <w:tcW w:w="2552" w:type="dxa"/>
          </w:tcPr>
          <w:p w14:paraId="3BADFE85" w14:textId="77777777" w:rsidR="00703D9D" w:rsidRPr="00A212C4" w:rsidRDefault="00703D9D" w:rsidP="009E75D9">
            <w:pPr>
              <w:tabs>
                <w:tab w:val="left" w:pos="720"/>
              </w:tabs>
              <w:rPr>
                <w:rFonts w:ascii="Arial" w:hAnsi="Arial" w:cs="Arial"/>
                <w:sz w:val="16"/>
                <w:szCs w:val="16"/>
              </w:rPr>
            </w:pPr>
            <w:r w:rsidRPr="00A212C4">
              <w:rPr>
                <w:rFonts w:ascii="Arial" w:hAnsi="Arial" w:cs="Arial"/>
                <w:sz w:val="16"/>
                <w:szCs w:val="16"/>
              </w:rPr>
              <w:t>the Victorian Government to trial emerging micro mobility such as e-scooters</w:t>
            </w:r>
          </w:p>
        </w:tc>
        <w:tc>
          <w:tcPr>
            <w:tcW w:w="2409" w:type="dxa"/>
          </w:tcPr>
          <w:p w14:paraId="1D0A0FE2" w14:textId="77777777" w:rsidR="00703D9D" w:rsidRPr="00A212C4" w:rsidRDefault="00703D9D" w:rsidP="009E75D9">
            <w:pPr>
              <w:rPr>
                <w:rFonts w:ascii="Arial" w:hAnsi="Arial" w:cs="Arial"/>
                <w:sz w:val="16"/>
                <w:szCs w:val="16"/>
              </w:rPr>
            </w:pPr>
            <w:r w:rsidRPr="00A212C4">
              <w:rPr>
                <w:rFonts w:ascii="Arial" w:hAnsi="Arial" w:cs="Arial"/>
                <w:sz w:val="16"/>
                <w:szCs w:val="16"/>
              </w:rPr>
              <w:t>This reflects the current Victorian Government electric scooter trial and Council decision made on 19 May 2021</w:t>
            </w:r>
          </w:p>
        </w:tc>
      </w:tr>
    </w:tbl>
    <w:tbl>
      <w:tblPr>
        <w:tblStyle w:val="ListTable2-Accent5"/>
        <w:tblW w:w="9639" w:type="dxa"/>
        <w:tblLayout w:type="fixed"/>
        <w:tblCellMar>
          <w:top w:w="85" w:type="dxa"/>
          <w:bottom w:w="85" w:type="dxa"/>
        </w:tblCellMar>
        <w:tblLook w:val="04A0" w:firstRow="1" w:lastRow="0" w:firstColumn="1" w:lastColumn="0" w:noHBand="0" w:noVBand="1"/>
      </w:tblPr>
      <w:tblGrid>
        <w:gridCol w:w="1843"/>
        <w:gridCol w:w="2835"/>
        <w:gridCol w:w="2552"/>
        <w:gridCol w:w="2409"/>
      </w:tblGrid>
      <w:tr w:rsidR="00703D9D" w:rsidRPr="00A212C4" w14:paraId="76F42DB4" w14:textId="77777777" w:rsidTr="007D55D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4F58B5C4"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 xml:space="preserve">Liveable </w:t>
            </w:r>
            <w:r w:rsidRPr="00A212C4">
              <w:rPr>
                <w:rFonts w:ascii="Arial" w:hAnsi="Arial" w:cs="Arial"/>
                <w:sz w:val="16"/>
                <w:szCs w:val="16"/>
              </w:rPr>
              <w:t>– We will partner with:</w:t>
            </w:r>
          </w:p>
        </w:tc>
        <w:tc>
          <w:tcPr>
            <w:tcW w:w="2835" w:type="dxa"/>
            <w:shd w:val="clear" w:color="auto" w:fill="DEEAF6" w:themeFill="accent5" w:themeFillTint="33"/>
          </w:tcPr>
          <w:p w14:paraId="1941F70C"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NEW</w:t>
            </w:r>
          </w:p>
        </w:tc>
        <w:tc>
          <w:tcPr>
            <w:tcW w:w="2552" w:type="dxa"/>
            <w:shd w:val="clear" w:color="auto" w:fill="DEEAF6" w:themeFill="accent5" w:themeFillTint="33"/>
          </w:tcPr>
          <w:p w14:paraId="12AF4ED8" w14:textId="77777777" w:rsidR="00703D9D" w:rsidRPr="00A212C4" w:rsidRDefault="00703D9D" w:rsidP="009E75D9">
            <w:pPr>
              <w:tabs>
                <w:tab w:val="left" w:pos="720"/>
              </w:tabs>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the Victorian Government and neighbouring Councils to maximise the benefits of our public spaces and public spaces in adjacent municipalities, including the potential joint delivery of new public spaces where appropriate.</w:t>
            </w:r>
          </w:p>
        </w:tc>
        <w:tc>
          <w:tcPr>
            <w:tcW w:w="2409" w:type="dxa"/>
            <w:shd w:val="clear" w:color="auto" w:fill="DEEAF6" w:themeFill="accent5" w:themeFillTint="33"/>
          </w:tcPr>
          <w:p w14:paraId="6A7072E2" w14:textId="77777777" w:rsidR="00703D9D" w:rsidRPr="00A212C4" w:rsidRDefault="00703D9D" w:rsidP="009E75D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212C4">
              <w:rPr>
                <w:rFonts w:ascii="Arial" w:hAnsi="Arial" w:cs="Arial"/>
                <w:b w:val="0"/>
                <w:bCs w:val="0"/>
                <w:sz w:val="16"/>
                <w:szCs w:val="16"/>
              </w:rPr>
              <w:t>Reflects the need to look at different ways to increase public space as supported by the Places for People - Public Space Strategy 2022-2032</w:t>
            </w:r>
          </w:p>
        </w:tc>
      </w:tr>
      <w:tr w:rsidR="00703D9D" w:rsidRPr="00A212C4" w14:paraId="731DB5A1" w14:textId="77777777" w:rsidTr="007D55D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08A37EC"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Liveable</w:t>
            </w:r>
            <w:r w:rsidRPr="00A212C4">
              <w:rPr>
                <w:rFonts w:ascii="Arial" w:hAnsi="Arial" w:cs="Arial"/>
                <w:sz w:val="16"/>
                <w:szCs w:val="16"/>
              </w:rPr>
              <w:t xml:space="preserve"> - We will facilitate and advocate for:</w:t>
            </w:r>
          </w:p>
        </w:tc>
        <w:tc>
          <w:tcPr>
            <w:tcW w:w="2835" w:type="dxa"/>
            <w:shd w:val="clear" w:color="auto" w:fill="auto"/>
          </w:tcPr>
          <w:p w14:paraId="21901102"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NEW</w:t>
            </w:r>
          </w:p>
        </w:tc>
        <w:tc>
          <w:tcPr>
            <w:tcW w:w="2552" w:type="dxa"/>
            <w:shd w:val="clear" w:color="auto" w:fill="auto"/>
          </w:tcPr>
          <w:p w14:paraId="2EE93D03" w14:textId="77777777" w:rsidR="00703D9D" w:rsidRPr="00A212C4" w:rsidRDefault="00703D9D" w:rsidP="009E75D9">
            <w:pPr>
              <w:tabs>
                <w:tab w:val="left" w:pos="720"/>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the Victorian Government to undertake relevant legislative reforms to enable safer use of alternative modes of transport</w:t>
            </w:r>
          </w:p>
        </w:tc>
        <w:tc>
          <w:tcPr>
            <w:tcW w:w="2409" w:type="dxa"/>
            <w:shd w:val="clear" w:color="auto" w:fill="auto"/>
          </w:tcPr>
          <w:p w14:paraId="44D67A46"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Reflects the importance of safe and alternative means of travel in our City.</w:t>
            </w:r>
          </w:p>
        </w:tc>
      </w:tr>
      <w:tr w:rsidR="00703D9D" w:rsidRPr="00A212C4" w14:paraId="773BC5A5" w14:textId="77777777" w:rsidTr="007D55D4">
        <w:trPr>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55CDD866"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 xml:space="preserve">Sustainable </w:t>
            </w:r>
            <w:r w:rsidRPr="00A212C4">
              <w:rPr>
                <w:rFonts w:ascii="Arial" w:hAnsi="Arial" w:cs="Arial"/>
                <w:sz w:val="16"/>
                <w:szCs w:val="16"/>
              </w:rPr>
              <w:t>– We will provide:</w:t>
            </w:r>
          </w:p>
        </w:tc>
        <w:tc>
          <w:tcPr>
            <w:tcW w:w="2835" w:type="dxa"/>
            <w:shd w:val="clear" w:color="auto" w:fill="DEEAF6" w:themeFill="accent5" w:themeFillTint="33"/>
          </w:tcPr>
          <w:p w14:paraId="54F3A515"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t>NEW</w:t>
            </w:r>
          </w:p>
        </w:tc>
        <w:tc>
          <w:tcPr>
            <w:tcW w:w="2552" w:type="dxa"/>
            <w:shd w:val="clear" w:color="auto" w:fill="DEEAF6" w:themeFill="accent5" w:themeFillTint="33"/>
          </w:tcPr>
          <w:p w14:paraId="22110347"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t>an updated Act and Adapt, Sustainable Environment Strategy and a new Climate Emergency Action Plan</w:t>
            </w:r>
          </w:p>
        </w:tc>
        <w:tc>
          <w:tcPr>
            <w:tcW w:w="2409" w:type="dxa"/>
            <w:shd w:val="clear" w:color="auto" w:fill="DEEAF6" w:themeFill="accent5" w:themeFillTint="33"/>
          </w:tcPr>
          <w:p w14:paraId="01B77CCF"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eastAsiaTheme="minorEastAsia" w:hAnsi="Arial" w:cs="Arial"/>
                <w:sz w:val="16"/>
                <w:szCs w:val="16"/>
              </w:rPr>
              <w:t xml:space="preserve">Reflects review date in Act and Adapt Strategy and the Council decision on 17 Nov 2021 to consult on the development of a new Climate Emergency Action Plan as part of the 2021/22 Council Plan and Budget.  </w:t>
            </w:r>
          </w:p>
        </w:tc>
      </w:tr>
      <w:tr w:rsidR="00703D9D" w:rsidRPr="00A212C4" w14:paraId="1D46D56F" w14:textId="77777777" w:rsidTr="007D55D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B1A50D7" w14:textId="77777777" w:rsidR="00703D9D" w:rsidRPr="00A212C4" w:rsidRDefault="00703D9D" w:rsidP="009E75D9">
            <w:pPr>
              <w:rPr>
                <w:rFonts w:ascii="Arial" w:eastAsia="Calibri" w:hAnsi="Arial" w:cs="Arial"/>
                <w:b w:val="0"/>
                <w:bCs w:val="0"/>
                <w:sz w:val="16"/>
                <w:szCs w:val="16"/>
              </w:rPr>
            </w:pPr>
            <w:r w:rsidRPr="00A212C4">
              <w:rPr>
                <w:rFonts w:ascii="Arial" w:hAnsi="Arial" w:cs="Arial"/>
                <w:b w:val="0"/>
                <w:bCs w:val="0"/>
                <w:sz w:val="16"/>
                <w:szCs w:val="16"/>
              </w:rPr>
              <w:t xml:space="preserve">Sustainable </w:t>
            </w:r>
            <w:r w:rsidRPr="00A212C4">
              <w:rPr>
                <w:rFonts w:ascii="Arial" w:hAnsi="Arial" w:cs="Arial"/>
                <w:sz w:val="16"/>
                <w:szCs w:val="16"/>
              </w:rPr>
              <w:t>– We will provide:</w:t>
            </w:r>
          </w:p>
        </w:tc>
        <w:tc>
          <w:tcPr>
            <w:tcW w:w="2835" w:type="dxa"/>
            <w:shd w:val="clear" w:color="auto" w:fill="auto"/>
          </w:tcPr>
          <w:p w14:paraId="4B9C2949"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NEW</w:t>
            </w:r>
          </w:p>
          <w:p w14:paraId="40E8C5EA"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tc>
        <w:tc>
          <w:tcPr>
            <w:tcW w:w="2552" w:type="dxa"/>
            <w:shd w:val="clear" w:color="auto" w:fill="auto"/>
          </w:tcPr>
          <w:p w14:paraId="3CFD672B"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A212C4">
              <w:rPr>
                <w:rFonts w:ascii="Arial" w:hAnsi="Arial" w:cs="Arial"/>
                <w:sz w:val="16"/>
                <w:szCs w:val="16"/>
              </w:rPr>
              <w:t>a new Marine and Coastal Management Plan and Coastal Adaptation Plan for our foreshore areas</w:t>
            </w:r>
          </w:p>
        </w:tc>
        <w:tc>
          <w:tcPr>
            <w:tcW w:w="2409" w:type="dxa"/>
            <w:shd w:val="clear" w:color="auto" w:fill="auto"/>
          </w:tcPr>
          <w:p w14:paraId="606BA932"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A212C4">
              <w:rPr>
                <w:rFonts w:ascii="Arial" w:eastAsia="Calibri" w:hAnsi="Arial" w:cs="Arial"/>
                <w:sz w:val="16"/>
                <w:szCs w:val="16"/>
              </w:rPr>
              <w:t xml:space="preserve">Reflects a requirement of the Victorian Government for Local Government to have this plan in place. </w:t>
            </w:r>
          </w:p>
        </w:tc>
      </w:tr>
      <w:tr w:rsidR="00703D9D" w:rsidRPr="00A212C4" w14:paraId="548CF56F" w14:textId="77777777" w:rsidTr="007D55D4">
        <w:trPr>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4176B6E0"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Sustainable</w:t>
            </w:r>
            <w:r w:rsidRPr="00A212C4">
              <w:rPr>
                <w:rFonts w:ascii="Arial" w:hAnsi="Arial" w:cs="Arial"/>
                <w:sz w:val="16"/>
                <w:szCs w:val="16"/>
              </w:rPr>
              <w:t xml:space="preserve"> – We will provide:</w:t>
            </w:r>
          </w:p>
        </w:tc>
        <w:tc>
          <w:tcPr>
            <w:tcW w:w="2835" w:type="dxa"/>
            <w:shd w:val="clear" w:color="auto" w:fill="DEEAF6" w:themeFill="accent5" w:themeFillTint="33"/>
          </w:tcPr>
          <w:p w14:paraId="02528805"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t xml:space="preserve">an advisory service to engage with industrial businesses to support energy efficiency, access to </w:t>
            </w:r>
            <w:r w:rsidRPr="00A212C4">
              <w:rPr>
                <w:rFonts w:ascii="Arial" w:hAnsi="Arial" w:cs="Arial"/>
                <w:sz w:val="16"/>
                <w:szCs w:val="16"/>
              </w:rPr>
              <w:lastRenderedPageBreak/>
              <w:t>renewables, waste and water reductions (subject to industrial business interest)</w:t>
            </w:r>
          </w:p>
        </w:tc>
        <w:tc>
          <w:tcPr>
            <w:tcW w:w="2552" w:type="dxa"/>
            <w:shd w:val="clear" w:color="auto" w:fill="DEEAF6" w:themeFill="accent5" w:themeFillTint="33"/>
          </w:tcPr>
          <w:p w14:paraId="3338D6B9"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lastRenderedPageBreak/>
              <w:t xml:space="preserve">services that support businesses to enhance sustainability outcomes, including reducing </w:t>
            </w:r>
            <w:r w:rsidRPr="00A212C4">
              <w:rPr>
                <w:rFonts w:ascii="Arial" w:hAnsi="Arial" w:cs="Arial"/>
                <w:sz w:val="16"/>
                <w:szCs w:val="16"/>
              </w:rPr>
              <w:lastRenderedPageBreak/>
              <w:t>emissions, energy, water and waste</w:t>
            </w:r>
          </w:p>
        </w:tc>
        <w:tc>
          <w:tcPr>
            <w:tcW w:w="2409" w:type="dxa"/>
            <w:shd w:val="clear" w:color="auto" w:fill="DEEAF6" w:themeFill="accent5" w:themeFillTint="33"/>
          </w:tcPr>
          <w:p w14:paraId="269245D0"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lastRenderedPageBreak/>
              <w:t>Updated to reflect Council briefing discussion on 16 February 2022.</w:t>
            </w:r>
          </w:p>
        </w:tc>
      </w:tr>
      <w:tr w:rsidR="00703D9D" w:rsidRPr="00A212C4" w14:paraId="31AC5787" w14:textId="77777777" w:rsidTr="007D55D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EB077FE"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Sustainable</w:t>
            </w:r>
            <w:r w:rsidRPr="00A212C4">
              <w:rPr>
                <w:rFonts w:ascii="Arial" w:hAnsi="Arial" w:cs="Arial"/>
                <w:sz w:val="16"/>
                <w:szCs w:val="16"/>
              </w:rPr>
              <w:t xml:space="preserve"> – We will provide:</w:t>
            </w:r>
          </w:p>
        </w:tc>
        <w:tc>
          <w:tcPr>
            <w:tcW w:w="2835" w:type="dxa"/>
            <w:shd w:val="clear" w:color="auto" w:fill="auto"/>
          </w:tcPr>
          <w:p w14:paraId="12F82EDB"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NEW</w:t>
            </w:r>
          </w:p>
        </w:tc>
        <w:tc>
          <w:tcPr>
            <w:tcW w:w="2552" w:type="dxa"/>
            <w:shd w:val="clear" w:color="auto" w:fill="auto"/>
          </w:tcPr>
          <w:p w14:paraId="562A4A65"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eastAsia="Calibri" w:hAnsi="Arial" w:cs="Arial"/>
                <w:sz w:val="16"/>
                <w:szCs w:val="16"/>
              </w:rPr>
              <w:t>updated information on the vulnerability of Council’s assets to climate change and embed climate change in Council’s decision making</w:t>
            </w:r>
          </w:p>
        </w:tc>
        <w:tc>
          <w:tcPr>
            <w:tcW w:w="2409" w:type="dxa"/>
            <w:shd w:val="clear" w:color="auto" w:fill="auto"/>
          </w:tcPr>
          <w:p w14:paraId="2F74DF6E" w14:textId="77777777" w:rsidR="00703D9D" w:rsidRPr="00A212C4" w:rsidRDefault="00703D9D" w:rsidP="009E75D9">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Reflects legislative requirement under the LGA 2020 to consider climate change in decision making and work undertaken through SECCCA in 2021 with respect to asset vulnerability assessment.</w:t>
            </w:r>
          </w:p>
        </w:tc>
      </w:tr>
      <w:tr w:rsidR="00703D9D" w:rsidRPr="00A212C4" w14:paraId="63609DEC" w14:textId="77777777" w:rsidTr="007D55D4">
        <w:trPr>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3BA6A458"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Sustainable</w:t>
            </w:r>
            <w:r w:rsidRPr="00A212C4">
              <w:rPr>
                <w:rFonts w:ascii="Arial" w:hAnsi="Arial" w:cs="Arial"/>
                <w:sz w:val="16"/>
                <w:szCs w:val="16"/>
              </w:rPr>
              <w:t xml:space="preserve"> – We will partner with:</w:t>
            </w:r>
          </w:p>
        </w:tc>
        <w:tc>
          <w:tcPr>
            <w:tcW w:w="2835" w:type="dxa"/>
            <w:shd w:val="clear" w:color="auto" w:fill="DEEAF6" w:themeFill="accent5" w:themeFillTint="33"/>
          </w:tcPr>
          <w:p w14:paraId="02FB96B2"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t>other inner Melbourne councils to explore options that may facilitate greater access and awareness of renewable energy options for renters, apartment dwellers and Businesses in our municipality (subject to feasibility assessment)</w:t>
            </w:r>
          </w:p>
        </w:tc>
        <w:tc>
          <w:tcPr>
            <w:tcW w:w="2552" w:type="dxa"/>
            <w:shd w:val="clear" w:color="auto" w:fill="DEEAF6" w:themeFill="accent5" w:themeFillTint="33"/>
          </w:tcPr>
          <w:p w14:paraId="08D0CC29"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6"/>
                <w:szCs w:val="16"/>
              </w:rPr>
            </w:pPr>
            <w:r w:rsidRPr="00A212C4">
              <w:rPr>
                <w:rFonts w:ascii="Arial" w:hAnsi="Arial" w:cs="Arial"/>
                <w:sz w:val="16"/>
                <w:szCs w:val="16"/>
              </w:rPr>
              <w:t xml:space="preserve">other inner Melbourne councils to explore initiatives to facilitate greater access and awareness of renewable energy options for residents and businesses, including </w:t>
            </w:r>
            <w:proofErr w:type="spellStart"/>
            <w:r w:rsidRPr="00A212C4">
              <w:rPr>
                <w:rFonts w:ascii="Arial" w:hAnsi="Arial" w:cs="Arial"/>
                <w:sz w:val="16"/>
                <w:szCs w:val="16"/>
              </w:rPr>
              <w:t>greenpower</w:t>
            </w:r>
            <w:proofErr w:type="spellEnd"/>
            <w:r w:rsidRPr="00A212C4">
              <w:rPr>
                <w:rFonts w:ascii="Arial" w:hAnsi="Arial" w:cs="Arial"/>
                <w:sz w:val="16"/>
                <w:szCs w:val="16"/>
              </w:rPr>
              <w:t xml:space="preserve"> and community batteries</w:t>
            </w:r>
          </w:p>
          <w:p w14:paraId="4D34FBCA" w14:textId="77777777" w:rsidR="00703D9D" w:rsidRPr="00A212C4" w:rsidRDefault="00703D9D" w:rsidP="009E75D9">
            <w:pPr>
              <w:tabs>
                <w:tab w:val="left" w:pos="720"/>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409" w:type="dxa"/>
            <w:shd w:val="clear" w:color="auto" w:fill="DEEAF6" w:themeFill="accent5" w:themeFillTint="33"/>
          </w:tcPr>
          <w:p w14:paraId="04AC5C61"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t>Updated to reflect work occurring with the Inner Metropolitan Partnership on renewable energy options</w:t>
            </w:r>
          </w:p>
        </w:tc>
      </w:tr>
      <w:tr w:rsidR="00703D9D" w:rsidRPr="00A212C4" w14:paraId="439AE7E5" w14:textId="77777777" w:rsidTr="007D55D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C9758C7"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 xml:space="preserve">Sustainable </w:t>
            </w:r>
            <w:r w:rsidRPr="00A212C4">
              <w:rPr>
                <w:rFonts w:ascii="Arial" w:hAnsi="Arial" w:cs="Arial"/>
                <w:sz w:val="16"/>
                <w:szCs w:val="16"/>
              </w:rPr>
              <w:t>– We will partner with:</w:t>
            </w:r>
          </w:p>
        </w:tc>
        <w:tc>
          <w:tcPr>
            <w:tcW w:w="2835" w:type="dxa"/>
            <w:shd w:val="clear" w:color="auto" w:fill="auto"/>
          </w:tcPr>
          <w:p w14:paraId="25358F4E"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NEW</w:t>
            </w:r>
          </w:p>
        </w:tc>
        <w:tc>
          <w:tcPr>
            <w:tcW w:w="2552" w:type="dxa"/>
            <w:shd w:val="clear" w:color="auto" w:fill="auto"/>
          </w:tcPr>
          <w:p w14:paraId="12C761FB" w14:textId="77777777" w:rsidR="00703D9D" w:rsidRPr="00A212C4" w:rsidRDefault="00703D9D" w:rsidP="009E75D9">
            <w:pPr>
              <w:tabs>
                <w:tab w:val="left" w:pos="720"/>
              </w:tabs>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A212C4">
              <w:rPr>
                <w:rFonts w:ascii="Arial" w:eastAsia="Calibri" w:hAnsi="Arial" w:cs="Arial"/>
                <w:sz w:val="16"/>
                <w:szCs w:val="16"/>
              </w:rPr>
              <w:t>City of Bayside to contribute to improved amenity and biodiversity improvements in the Elsternwick Park Nature Reserve and will develop a business case and detailed designs for the wetlands and stormwater harvesting scheme for further consideration by Council</w:t>
            </w:r>
          </w:p>
        </w:tc>
        <w:tc>
          <w:tcPr>
            <w:tcW w:w="2409" w:type="dxa"/>
            <w:shd w:val="clear" w:color="auto" w:fill="auto"/>
          </w:tcPr>
          <w:p w14:paraId="060687F8"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sidRPr="00A212C4">
              <w:rPr>
                <w:rFonts w:ascii="Arial" w:hAnsi="Arial" w:cs="Arial"/>
                <w:sz w:val="16"/>
                <w:szCs w:val="16"/>
              </w:rPr>
              <w:t>Included to reflect Council decision on 16 March 2022</w:t>
            </w:r>
          </w:p>
        </w:tc>
      </w:tr>
      <w:tr w:rsidR="00703D9D" w:rsidRPr="00A212C4" w14:paraId="3AE01AF2" w14:textId="77777777" w:rsidTr="007D55D4">
        <w:tblPrEx>
          <w:tblCellMar>
            <w:top w:w="0" w:type="dxa"/>
            <w:bottom w:w="0" w:type="dxa"/>
          </w:tblCellMar>
        </w:tblPrEx>
        <w:trPr>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5" w:themeFillTint="33"/>
          </w:tcPr>
          <w:p w14:paraId="28BF1BE0" w14:textId="77777777" w:rsidR="00703D9D" w:rsidRPr="00A212C4" w:rsidRDefault="00703D9D" w:rsidP="009E75D9">
            <w:pPr>
              <w:rPr>
                <w:rFonts w:ascii="Arial" w:eastAsia="Calibri" w:hAnsi="Arial" w:cs="Arial"/>
                <w:b w:val="0"/>
                <w:bCs w:val="0"/>
                <w:sz w:val="16"/>
                <w:szCs w:val="16"/>
              </w:rPr>
            </w:pPr>
            <w:r w:rsidRPr="00A212C4">
              <w:rPr>
                <w:rFonts w:ascii="Arial" w:hAnsi="Arial" w:cs="Arial"/>
                <w:b w:val="0"/>
                <w:bCs w:val="0"/>
                <w:sz w:val="16"/>
                <w:szCs w:val="16"/>
              </w:rPr>
              <w:t xml:space="preserve">Sustainable </w:t>
            </w:r>
            <w:r w:rsidRPr="00A212C4">
              <w:rPr>
                <w:rFonts w:ascii="Arial" w:hAnsi="Arial" w:cs="Arial"/>
                <w:sz w:val="16"/>
                <w:szCs w:val="16"/>
              </w:rPr>
              <w:t>– We will partner with:</w:t>
            </w:r>
          </w:p>
        </w:tc>
        <w:tc>
          <w:tcPr>
            <w:tcW w:w="2835" w:type="dxa"/>
            <w:shd w:val="clear" w:color="auto" w:fill="DEEAF6" w:themeFill="accent5" w:themeFillTint="33"/>
          </w:tcPr>
          <w:p w14:paraId="469D387E"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t>NEW</w:t>
            </w:r>
          </w:p>
          <w:p w14:paraId="188D04A1"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c>
          <w:tcPr>
            <w:tcW w:w="2552" w:type="dxa"/>
            <w:shd w:val="clear" w:color="auto" w:fill="DEEAF6" w:themeFill="accent5" w:themeFillTint="33"/>
          </w:tcPr>
          <w:p w14:paraId="74F75992" w14:textId="77777777" w:rsidR="00703D9D" w:rsidRPr="00A212C4" w:rsidRDefault="00703D9D" w:rsidP="009E75D9">
            <w:pPr>
              <w:tabs>
                <w:tab w:val="left" w:pos="720"/>
              </w:tabs>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A212C4">
              <w:rPr>
                <w:rFonts w:ascii="Arial" w:eastAsia="Calibri" w:hAnsi="Arial" w:cs="Arial"/>
                <w:sz w:val="16"/>
                <w:szCs w:val="16"/>
              </w:rPr>
              <w:t>Melbourne Water to update the flood overlay (Special Building Overlay) in the Port Phillip Planning Scheme</w:t>
            </w:r>
          </w:p>
        </w:tc>
        <w:tc>
          <w:tcPr>
            <w:tcW w:w="2409" w:type="dxa"/>
            <w:shd w:val="clear" w:color="auto" w:fill="DEEAF6" w:themeFill="accent5" w:themeFillTint="33"/>
          </w:tcPr>
          <w:p w14:paraId="50342203"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12C4">
              <w:rPr>
                <w:rFonts w:ascii="Arial" w:hAnsi="Arial" w:cs="Arial"/>
                <w:sz w:val="16"/>
                <w:szCs w:val="16"/>
              </w:rPr>
              <w:t>Included to reflect new flood modelling and need to consider climate change impacts</w:t>
            </w:r>
          </w:p>
          <w:p w14:paraId="7B099D2F" w14:textId="77777777" w:rsidR="00703D9D" w:rsidRPr="00A212C4" w:rsidRDefault="00703D9D" w:rsidP="009E75D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00703D9D" w:rsidRPr="00A212C4" w14:paraId="68822168" w14:textId="77777777" w:rsidTr="007D55D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2768DF4" w14:textId="77777777" w:rsidR="00703D9D" w:rsidRPr="00A212C4" w:rsidRDefault="00703D9D" w:rsidP="009E75D9">
            <w:pPr>
              <w:rPr>
                <w:rFonts w:ascii="Arial" w:hAnsi="Arial" w:cs="Arial"/>
                <w:sz w:val="16"/>
                <w:szCs w:val="16"/>
              </w:rPr>
            </w:pPr>
            <w:r w:rsidRPr="00A212C4">
              <w:rPr>
                <w:rFonts w:ascii="Arial" w:hAnsi="Arial" w:cs="Arial"/>
                <w:b w:val="0"/>
                <w:bCs w:val="0"/>
                <w:sz w:val="16"/>
                <w:szCs w:val="16"/>
              </w:rPr>
              <w:t>Well-governed</w:t>
            </w:r>
            <w:r w:rsidRPr="00A212C4">
              <w:rPr>
                <w:rFonts w:ascii="Arial" w:hAnsi="Arial" w:cs="Arial"/>
                <w:sz w:val="16"/>
                <w:szCs w:val="16"/>
              </w:rPr>
              <w:t xml:space="preserve"> - We will provide:</w:t>
            </w:r>
          </w:p>
        </w:tc>
        <w:tc>
          <w:tcPr>
            <w:tcW w:w="2835" w:type="dxa"/>
            <w:shd w:val="clear" w:color="auto" w:fill="auto"/>
          </w:tcPr>
          <w:p w14:paraId="5930B3E3"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programs that progress our aspiration to become a trusted employer including implementation and embedment of the requirements of the Gender Equality, Child Safety and Occupational Health and Safety legislation relating to Council employees, contractors and volunteers</w:t>
            </w:r>
          </w:p>
        </w:tc>
        <w:tc>
          <w:tcPr>
            <w:tcW w:w="2552" w:type="dxa"/>
            <w:shd w:val="clear" w:color="auto" w:fill="auto"/>
          </w:tcPr>
          <w:p w14:paraId="3C71FB09" w14:textId="77777777" w:rsidR="00703D9D" w:rsidRPr="00A212C4" w:rsidRDefault="00703D9D" w:rsidP="009E75D9">
            <w:pPr>
              <w:tabs>
                <w:tab w:val="left" w:pos="720"/>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programs that progress our aspiration to become a trusted employer including implementation and embedment of the requirements of the Gender Equality, Child Safety and Occupational Health and Safety legislation</w:t>
            </w:r>
            <w:r w:rsidRPr="00A212C4">
              <w:rPr>
                <w:rFonts w:ascii="Arial" w:hAnsi="Arial" w:cs="Arial"/>
                <w:sz w:val="16"/>
                <w:szCs w:val="16"/>
                <w:u w:val="single"/>
              </w:rPr>
              <w:t xml:space="preserve"> including psychological safety and wellbeing</w:t>
            </w:r>
            <w:r w:rsidRPr="00A212C4">
              <w:rPr>
                <w:rFonts w:ascii="Arial" w:hAnsi="Arial" w:cs="Arial"/>
                <w:sz w:val="16"/>
                <w:szCs w:val="16"/>
              </w:rPr>
              <w:t xml:space="preserve"> relating to Council employees, contractors and volunteers</w:t>
            </w:r>
          </w:p>
        </w:tc>
        <w:tc>
          <w:tcPr>
            <w:tcW w:w="2409" w:type="dxa"/>
            <w:shd w:val="clear" w:color="auto" w:fill="auto"/>
          </w:tcPr>
          <w:p w14:paraId="7BB84D80" w14:textId="77777777" w:rsidR="00703D9D" w:rsidRPr="00A212C4" w:rsidRDefault="00703D9D" w:rsidP="009E75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12C4">
              <w:rPr>
                <w:rFonts w:ascii="Arial" w:hAnsi="Arial" w:cs="Arial"/>
                <w:sz w:val="16"/>
                <w:szCs w:val="16"/>
              </w:rPr>
              <w:t>Updated to include ‘psychological safety and wellbeing’ changes to Victorian Government Occupational Health and Safety Legislation.</w:t>
            </w:r>
          </w:p>
        </w:tc>
      </w:tr>
    </w:tbl>
    <w:p w14:paraId="01ECB729" w14:textId="713B55B1" w:rsidR="00703D9D" w:rsidRPr="00A212C4" w:rsidRDefault="00703D9D" w:rsidP="00703D9D">
      <w:pPr>
        <w:rPr>
          <w:sz w:val="16"/>
          <w:szCs w:val="16"/>
        </w:rPr>
      </w:pPr>
    </w:p>
    <w:p w14:paraId="0C53512E" w14:textId="77777777" w:rsidR="00703D9D" w:rsidRPr="00A212C4" w:rsidRDefault="00703D9D" w:rsidP="00703D9D">
      <w:pPr>
        <w:rPr>
          <w:sz w:val="16"/>
          <w:szCs w:val="16"/>
        </w:rPr>
      </w:pPr>
    </w:p>
    <w:sectPr w:rsidR="00703D9D" w:rsidRPr="00A212C4" w:rsidSect="00EA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086D"/>
    <w:multiLevelType w:val="hybridMultilevel"/>
    <w:tmpl w:val="1B40D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12F6AAE"/>
    <w:multiLevelType w:val="hybridMultilevel"/>
    <w:tmpl w:val="08783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1C31122"/>
    <w:multiLevelType w:val="hybridMultilevel"/>
    <w:tmpl w:val="C1F6B600"/>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quot;Arial&quot;,sans-serif" w:hAnsi="&quot;Arial&quot;,sans-serif" w:cs="&quot;Arial&quot;,sans-serif" w:hint="default"/>
      </w:rPr>
    </w:lvl>
    <w:lvl w:ilvl="2" w:tplc="0C090005" w:tentative="1">
      <w:start w:val="1"/>
      <w:numFmt w:val="bullet"/>
      <w:lvlText w:val=""/>
      <w:lvlJc w:val="left"/>
      <w:pPr>
        <w:ind w:left="2160" w:hanging="360"/>
      </w:pPr>
      <w:rPr>
        <w:rFonts w:ascii="Avenir LT Std 35 Light" w:hAnsi="Avenir LT Std 35 Light" w:hint="default"/>
      </w:rPr>
    </w:lvl>
    <w:lvl w:ilvl="3" w:tplc="0C090001" w:tentative="1">
      <w:start w:val="1"/>
      <w:numFmt w:val="bullet"/>
      <w:lvlText w:val=""/>
      <w:lvlJc w:val="left"/>
      <w:pPr>
        <w:ind w:left="2880" w:hanging="360"/>
      </w:pPr>
      <w:rPr>
        <w:rFonts w:ascii="Avenir LT Std 35 Light" w:hAnsi="Avenir LT Std 35 Light" w:hint="default"/>
      </w:rPr>
    </w:lvl>
    <w:lvl w:ilvl="4" w:tplc="0C090003" w:tentative="1">
      <w:start w:val="1"/>
      <w:numFmt w:val="bullet"/>
      <w:lvlText w:val="o"/>
      <w:lvlJc w:val="left"/>
      <w:pPr>
        <w:ind w:left="3600" w:hanging="360"/>
      </w:pPr>
      <w:rPr>
        <w:rFonts w:ascii="&quot;Arial&quot;,sans-serif" w:hAnsi="&quot;Arial&quot;,sans-serif" w:cs="&quot;Arial&quot;,sans-serif" w:hint="default"/>
      </w:rPr>
    </w:lvl>
    <w:lvl w:ilvl="5" w:tplc="0C090005" w:tentative="1">
      <w:start w:val="1"/>
      <w:numFmt w:val="bullet"/>
      <w:lvlText w:val=""/>
      <w:lvlJc w:val="left"/>
      <w:pPr>
        <w:ind w:left="4320" w:hanging="360"/>
      </w:pPr>
      <w:rPr>
        <w:rFonts w:ascii="Avenir LT Std 35 Light" w:hAnsi="Avenir LT Std 35 Light" w:hint="default"/>
      </w:rPr>
    </w:lvl>
    <w:lvl w:ilvl="6" w:tplc="0C090001" w:tentative="1">
      <w:start w:val="1"/>
      <w:numFmt w:val="bullet"/>
      <w:lvlText w:val=""/>
      <w:lvlJc w:val="left"/>
      <w:pPr>
        <w:ind w:left="5040" w:hanging="360"/>
      </w:pPr>
      <w:rPr>
        <w:rFonts w:ascii="Avenir LT Std 35 Light" w:hAnsi="Avenir LT Std 35 Light" w:hint="default"/>
      </w:rPr>
    </w:lvl>
    <w:lvl w:ilvl="7" w:tplc="0C090003" w:tentative="1">
      <w:start w:val="1"/>
      <w:numFmt w:val="bullet"/>
      <w:lvlText w:val="o"/>
      <w:lvlJc w:val="left"/>
      <w:pPr>
        <w:ind w:left="5760" w:hanging="360"/>
      </w:pPr>
      <w:rPr>
        <w:rFonts w:ascii="&quot;Arial&quot;,sans-serif" w:hAnsi="&quot;Arial&quot;,sans-serif" w:cs="&quot;Arial&quot;,sans-serif" w:hint="default"/>
      </w:rPr>
    </w:lvl>
    <w:lvl w:ilvl="8" w:tplc="0C090005" w:tentative="1">
      <w:start w:val="1"/>
      <w:numFmt w:val="bullet"/>
      <w:lvlText w:val=""/>
      <w:lvlJc w:val="left"/>
      <w:pPr>
        <w:ind w:left="6480" w:hanging="360"/>
      </w:pPr>
      <w:rPr>
        <w:rFonts w:ascii="Avenir LT Std 35 Light" w:hAnsi="Avenir LT Std 35 Light" w:hint="default"/>
      </w:rPr>
    </w:lvl>
  </w:abstractNum>
  <w:abstractNum w:abstractNumId="3" w15:restartNumberingAfterBreak="0">
    <w:nsid w:val="5E9542AC"/>
    <w:multiLevelType w:val="hybridMultilevel"/>
    <w:tmpl w:val="B27A6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9D"/>
    <w:rsid w:val="00254817"/>
    <w:rsid w:val="003272D9"/>
    <w:rsid w:val="003A354C"/>
    <w:rsid w:val="004F4160"/>
    <w:rsid w:val="00703D9D"/>
    <w:rsid w:val="007478B8"/>
    <w:rsid w:val="007D55D4"/>
    <w:rsid w:val="0081400E"/>
    <w:rsid w:val="00887678"/>
    <w:rsid w:val="008D090A"/>
    <w:rsid w:val="008D714A"/>
    <w:rsid w:val="009D7D71"/>
    <w:rsid w:val="00A10E91"/>
    <w:rsid w:val="00A212C4"/>
    <w:rsid w:val="00A244C1"/>
    <w:rsid w:val="00CB5220"/>
    <w:rsid w:val="00EA0D18"/>
    <w:rsid w:val="00EE5B71"/>
    <w:rsid w:val="00F3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C89"/>
  <w15:chartTrackingRefBased/>
  <w15:docId w15:val="{C79E6FE7-6187-4715-8395-C207794F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03D9D"/>
    <w:pPr>
      <w:keepNext/>
      <w:keepLines/>
      <w:spacing w:before="360" w:after="120" w:line="288" w:lineRule="auto"/>
      <w:outlineLvl w:val="2"/>
    </w:pPr>
    <w:rPr>
      <w:rFonts w:ascii="Arial" w:eastAsiaTheme="majorEastAsia" w:hAnsi="Arial" w:cstheme="majorBidi"/>
      <w:color w:val="6E6455"/>
      <w:sz w:val="36"/>
      <w:szCs w:val="24"/>
    </w:rPr>
  </w:style>
  <w:style w:type="paragraph" w:styleId="Heading4">
    <w:name w:val="heading 4"/>
    <w:basedOn w:val="Normal"/>
    <w:next w:val="Normal"/>
    <w:link w:val="Heading4Char"/>
    <w:autoRedefine/>
    <w:uiPriority w:val="9"/>
    <w:unhideWhenUsed/>
    <w:qFormat/>
    <w:rsid w:val="004F4160"/>
    <w:pPr>
      <w:keepNext/>
      <w:keepLines/>
      <w:spacing w:before="360" w:after="120" w:line="288" w:lineRule="auto"/>
      <w:outlineLvl w:val="3"/>
    </w:pPr>
    <w:rPr>
      <w:rFonts w:ascii="Poppins SemiBold" w:eastAsiaTheme="majorEastAsia" w:hAnsi="Poppins SemiBold" w:cstheme="majorBidi"/>
      <w:iCs/>
      <w:color w:val="000000" w:themeColor="text1"/>
      <w:sz w:val="28"/>
    </w:rPr>
  </w:style>
  <w:style w:type="paragraph" w:styleId="Heading5">
    <w:name w:val="heading 5"/>
    <w:basedOn w:val="Normal"/>
    <w:next w:val="Normal"/>
    <w:link w:val="Heading5Char"/>
    <w:uiPriority w:val="9"/>
    <w:unhideWhenUsed/>
    <w:qFormat/>
    <w:rsid w:val="004F4160"/>
    <w:pPr>
      <w:keepNext/>
      <w:keepLines/>
      <w:spacing w:before="40" w:after="0" w:line="288" w:lineRule="auto"/>
      <w:outlineLvl w:val="4"/>
    </w:pPr>
    <w:rPr>
      <w:rFonts w:ascii="Arial" w:eastAsiaTheme="majorEastAsia" w:hAnsi="Arial"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9D"/>
    <w:rPr>
      <w:rFonts w:ascii="Segoe UI" w:hAnsi="Segoe UI" w:cs="Segoe UI"/>
      <w:sz w:val="18"/>
      <w:szCs w:val="18"/>
    </w:rPr>
  </w:style>
  <w:style w:type="character" w:customStyle="1" w:styleId="Heading3Char">
    <w:name w:val="Heading 3 Char"/>
    <w:basedOn w:val="DefaultParagraphFont"/>
    <w:link w:val="Heading3"/>
    <w:uiPriority w:val="9"/>
    <w:rsid w:val="00703D9D"/>
    <w:rPr>
      <w:rFonts w:ascii="Arial" w:eastAsiaTheme="majorEastAsia" w:hAnsi="Arial" w:cstheme="majorBidi"/>
      <w:color w:val="6E6455"/>
      <w:sz w:val="36"/>
      <w:szCs w:val="24"/>
    </w:rPr>
  </w:style>
  <w:style w:type="character" w:styleId="CommentReference">
    <w:name w:val="annotation reference"/>
    <w:basedOn w:val="DefaultParagraphFont"/>
    <w:uiPriority w:val="99"/>
    <w:semiHidden/>
    <w:unhideWhenUsed/>
    <w:rsid w:val="00703D9D"/>
    <w:rPr>
      <w:sz w:val="16"/>
      <w:szCs w:val="16"/>
    </w:rPr>
  </w:style>
  <w:style w:type="paragraph" w:styleId="CommentText">
    <w:name w:val="annotation text"/>
    <w:basedOn w:val="Normal"/>
    <w:link w:val="CommentTextChar"/>
    <w:uiPriority w:val="99"/>
    <w:unhideWhenUsed/>
    <w:rsid w:val="00703D9D"/>
    <w:pPr>
      <w:spacing w:after="12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rsid w:val="00703D9D"/>
    <w:rPr>
      <w:rFonts w:ascii="Arial" w:hAnsi="Arial"/>
      <w:color w:val="000000" w:themeColor="text1"/>
      <w:sz w:val="20"/>
      <w:szCs w:val="20"/>
    </w:rPr>
  </w:style>
  <w:style w:type="paragraph" w:styleId="ListParagraph">
    <w:name w:val="List Paragraph"/>
    <w:basedOn w:val="Normal"/>
    <w:link w:val="ListParagraphChar"/>
    <w:uiPriority w:val="34"/>
    <w:qFormat/>
    <w:rsid w:val="00703D9D"/>
    <w:pPr>
      <w:spacing w:after="120" w:line="288" w:lineRule="auto"/>
      <w:ind w:left="720"/>
      <w:contextualSpacing/>
    </w:pPr>
    <w:rPr>
      <w:rFonts w:ascii="Arial" w:hAnsi="Arial"/>
      <w:color w:val="000000" w:themeColor="text1"/>
    </w:rPr>
  </w:style>
  <w:style w:type="table" w:styleId="ListTable2-Accent5">
    <w:name w:val="List Table 2 Accent 5"/>
    <w:basedOn w:val="TableNormal"/>
    <w:uiPriority w:val="47"/>
    <w:rsid w:val="00703D9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stParagraphChar">
    <w:name w:val="List Paragraph Char"/>
    <w:basedOn w:val="DefaultParagraphFont"/>
    <w:link w:val="ListParagraph"/>
    <w:uiPriority w:val="34"/>
    <w:rsid w:val="00703D9D"/>
    <w:rPr>
      <w:rFonts w:ascii="Arial" w:hAnsi="Arial"/>
      <w:color w:val="000000" w:themeColor="text1"/>
    </w:rPr>
  </w:style>
  <w:style w:type="character" w:customStyle="1" w:styleId="Heading4Char">
    <w:name w:val="Heading 4 Char"/>
    <w:basedOn w:val="DefaultParagraphFont"/>
    <w:link w:val="Heading4"/>
    <w:uiPriority w:val="9"/>
    <w:rsid w:val="004F4160"/>
    <w:rPr>
      <w:rFonts w:ascii="Poppins SemiBold" w:eastAsiaTheme="majorEastAsia" w:hAnsi="Poppins SemiBold" w:cstheme="majorBidi"/>
      <w:iCs/>
      <w:color w:val="000000" w:themeColor="text1"/>
      <w:sz w:val="28"/>
    </w:rPr>
  </w:style>
  <w:style w:type="character" w:customStyle="1" w:styleId="Heading5Char">
    <w:name w:val="Heading 5 Char"/>
    <w:basedOn w:val="DefaultParagraphFont"/>
    <w:link w:val="Heading5"/>
    <w:uiPriority w:val="9"/>
    <w:rsid w:val="004F4160"/>
    <w:rPr>
      <w:rFonts w:ascii="Arial" w:eastAsiaTheme="majorEastAsia" w:hAnsi="Arial" w:cstheme="majorBidi"/>
      <w:b/>
      <w:sz w:val="24"/>
    </w:rPr>
  </w:style>
  <w:style w:type="character" w:customStyle="1" w:styleId="Heading5Char1">
    <w:name w:val="Heading 5 Char1"/>
    <w:basedOn w:val="DefaultParagraphFont"/>
    <w:uiPriority w:val="9"/>
    <w:semiHidden/>
    <w:rsid w:val="004F416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2873</Words>
  <Characters>16695</Characters>
  <Application>Microsoft Office Word</Application>
  <DocSecurity>0</DocSecurity>
  <Lines>642</Lines>
  <Paragraphs>171</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Snowden</dc:creator>
  <cp:keywords/>
  <dc:description/>
  <cp:lastModifiedBy>Julie Snowden</cp:lastModifiedBy>
  <cp:revision>5</cp:revision>
  <dcterms:created xsi:type="dcterms:W3CDTF">2022-04-20T22:15:00Z</dcterms:created>
  <dcterms:modified xsi:type="dcterms:W3CDTF">2022-04-21T22:35:00Z</dcterms:modified>
</cp:coreProperties>
</file>