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EE95C" w14:textId="1D44F2C0" w:rsidR="00B13D47" w:rsidRDefault="00D20A50" w:rsidP="00B13D47">
      <w:pPr>
        <w:rPr>
          <w:rFonts w:ascii="Arial" w:hAnsi="Arial"/>
          <w:b/>
          <w:bCs/>
          <w:color w:val="2F5496" w:themeColor="accent1" w:themeShade="BF"/>
          <w:sz w:val="24"/>
          <w:szCs w:val="28"/>
        </w:rPr>
      </w:pPr>
      <w:r>
        <w:rPr>
          <w:rFonts w:ascii="Arial" w:hAnsi="Arial"/>
          <w:b/>
          <w:bCs/>
          <w:color w:val="2F5496" w:themeColor="accent1" w:themeShade="BF"/>
          <w:sz w:val="24"/>
          <w:szCs w:val="28"/>
        </w:rPr>
        <w:t xml:space="preserve">Proposed </w:t>
      </w:r>
      <w:r w:rsidR="00B13D47">
        <w:rPr>
          <w:rFonts w:ascii="Arial" w:hAnsi="Arial"/>
          <w:b/>
          <w:bCs/>
          <w:color w:val="2F5496" w:themeColor="accent1" w:themeShade="BF"/>
          <w:sz w:val="24"/>
          <w:szCs w:val="28"/>
        </w:rPr>
        <w:t>Outdoor Dining Fees 2022/23 Summary</w:t>
      </w:r>
      <w:bookmarkStart w:id="0" w:name="_GoBack"/>
      <w:bookmarkEnd w:id="0"/>
    </w:p>
    <w:p w14:paraId="74B435E5" w14:textId="77777777" w:rsidR="00B13D47" w:rsidRDefault="00B13D47" w:rsidP="00B13D47">
      <w:pPr>
        <w:rPr>
          <w:rFonts w:ascii="Arial" w:hAnsi="Arial"/>
          <w:b/>
          <w:bCs/>
          <w:color w:val="2F5496" w:themeColor="accent1" w:themeShade="BF"/>
          <w:sz w:val="24"/>
          <w:szCs w:val="28"/>
        </w:rPr>
      </w:pPr>
    </w:p>
    <w:p w14:paraId="22B6A7B5" w14:textId="4084922B" w:rsidR="00B13D47" w:rsidRDefault="00B13D47" w:rsidP="00B13D47">
      <w:pPr>
        <w:rPr>
          <w:rFonts w:ascii="Arial" w:hAnsi="Arial" w:cs="Arial"/>
          <w:b/>
          <w:bCs/>
          <w:sz w:val="20"/>
          <w:szCs w:val="20"/>
        </w:rPr>
      </w:pPr>
      <w:r>
        <w:rPr>
          <w:rFonts w:ascii="Arial" w:hAnsi="Arial" w:cs="Arial"/>
          <w:b/>
          <w:bCs/>
          <w:sz w:val="20"/>
          <w:szCs w:val="20"/>
        </w:rPr>
        <w:t>Footpath Trading Fees</w:t>
      </w:r>
    </w:p>
    <w:p w14:paraId="38E85EC1" w14:textId="77777777" w:rsidR="00B13D47" w:rsidRDefault="00B13D47" w:rsidP="00B13D47">
      <w:pPr>
        <w:rPr>
          <w:rFonts w:ascii="Arial" w:hAnsi="Arial" w:cs="Arial"/>
          <w:b/>
          <w:bCs/>
          <w:sz w:val="20"/>
          <w:szCs w:val="20"/>
        </w:rPr>
      </w:pPr>
    </w:p>
    <w:p w14:paraId="193C84F3" w14:textId="14E7E2B0" w:rsidR="00B13D47" w:rsidRDefault="00B13D47" w:rsidP="00B13D47">
      <w:pPr>
        <w:pStyle w:val="ListParagraph"/>
        <w:numPr>
          <w:ilvl w:val="0"/>
          <w:numId w:val="3"/>
        </w:numPr>
        <w:rPr>
          <w:rFonts w:ascii="Arial" w:hAnsi="Arial" w:cs="Arial"/>
          <w:sz w:val="20"/>
          <w:szCs w:val="20"/>
        </w:rPr>
      </w:pPr>
      <w:r>
        <w:rPr>
          <w:rFonts w:ascii="Arial" w:hAnsi="Arial" w:cs="Arial"/>
          <w:sz w:val="20"/>
          <w:szCs w:val="20"/>
        </w:rPr>
        <w:t>Footpath trading fees</w:t>
      </w:r>
      <w:r w:rsidR="00F77540">
        <w:rPr>
          <w:rFonts w:ascii="Arial" w:hAnsi="Arial" w:cs="Arial"/>
          <w:sz w:val="20"/>
          <w:szCs w:val="20"/>
        </w:rPr>
        <w:t xml:space="preserve"> would be </w:t>
      </w:r>
      <w:r>
        <w:rPr>
          <w:rFonts w:ascii="Arial" w:hAnsi="Arial" w:cs="Arial"/>
          <w:sz w:val="20"/>
          <w:szCs w:val="20"/>
        </w:rPr>
        <w:t>waived for 4-months from 1 July 2022 until 31 October 2022, with remaining fees pro-rated and charged for the remaining 8 months commencing from 1 November 2022.</w:t>
      </w:r>
      <w:r>
        <w:rPr>
          <w:rFonts w:ascii="Arial" w:hAnsi="Arial" w:cs="Arial"/>
          <w:sz w:val="20"/>
          <w:szCs w:val="20"/>
        </w:rPr>
        <w:br/>
      </w:r>
    </w:p>
    <w:p w14:paraId="41C5108E" w14:textId="2C37CAAC" w:rsidR="00B13D47" w:rsidRDefault="00B13D47" w:rsidP="00B13D47">
      <w:pPr>
        <w:pStyle w:val="ListParagraph"/>
        <w:numPr>
          <w:ilvl w:val="0"/>
          <w:numId w:val="3"/>
        </w:numPr>
        <w:rPr>
          <w:rFonts w:ascii="Arial" w:hAnsi="Arial" w:cs="Arial"/>
          <w:sz w:val="20"/>
          <w:szCs w:val="20"/>
        </w:rPr>
      </w:pPr>
      <w:r w:rsidRPr="05DE1FEE">
        <w:rPr>
          <w:rFonts w:ascii="Arial" w:hAnsi="Arial" w:cs="Arial"/>
          <w:sz w:val="20"/>
          <w:szCs w:val="20"/>
        </w:rPr>
        <w:t>Support</w:t>
      </w:r>
      <w:r w:rsidR="00F77540" w:rsidRPr="05DE1FEE">
        <w:rPr>
          <w:rFonts w:ascii="Arial" w:hAnsi="Arial" w:cs="Arial"/>
          <w:sz w:val="20"/>
          <w:szCs w:val="20"/>
        </w:rPr>
        <w:t>ing</w:t>
      </w:r>
      <w:r w:rsidRPr="05DE1FEE">
        <w:rPr>
          <w:rFonts w:ascii="Arial" w:hAnsi="Arial" w:cs="Arial"/>
          <w:sz w:val="20"/>
          <w:szCs w:val="20"/>
        </w:rPr>
        <w:t xml:space="preserve"> businesses in areas with high vacancy rates by charging the cheaper Revitalisation rate in the Acland Street Primary, Carlisle Street Primary and Fitzroy Street Primary areas, as defined in the maps of the current Footpath Trading Fee Policy.</w:t>
      </w:r>
    </w:p>
    <w:p w14:paraId="067D0EF8" w14:textId="77777777" w:rsidR="00B13D47" w:rsidRDefault="00B13D47" w:rsidP="00B13D47">
      <w:pPr>
        <w:rPr>
          <w:rFonts w:ascii="Arial" w:hAnsi="Arial" w:cs="Arial"/>
          <w:b/>
          <w:bCs/>
          <w:sz w:val="20"/>
          <w:szCs w:val="20"/>
        </w:rPr>
      </w:pPr>
    </w:p>
    <w:p w14:paraId="17435C29" w14:textId="4587D181" w:rsidR="00B13D47" w:rsidRDefault="00B13D47" w:rsidP="00B13D47">
      <w:pPr>
        <w:rPr>
          <w:rFonts w:ascii="Arial" w:hAnsi="Arial" w:cs="Arial"/>
          <w:b/>
          <w:bCs/>
          <w:sz w:val="20"/>
          <w:szCs w:val="20"/>
        </w:rPr>
      </w:pPr>
      <w:r>
        <w:rPr>
          <w:rFonts w:ascii="Arial" w:hAnsi="Arial" w:cs="Arial"/>
          <w:b/>
          <w:bCs/>
          <w:sz w:val="20"/>
          <w:szCs w:val="20"/>
        </w:rPr>
        <w:t>Business Parklet Fees</w:t>
      </w:r>
      <w:r>
        <w:rPr>
          <w:rFonts w:ascii="Arial" w:hAnsi="Arial" w:cs="Arial"/>
          <w:b/>
          <w:bCs/>
          <w:sz w:val="20"/>
          <w:szCs w:val="20"/>
        </w:rPr>
        <w:br/>
      </w:r>
    </w:p>
    <w:p w14:paraId="0E335921" w14:textId="256DDA41" w:rsidR="00B13D47" w:rsidRDefault="00B13D47" w:rsidP="00B13D47">
      <w:pPr>
        <w:pStyle w:val="ListParagraph"/>
        <w:numPr>
          <w:ilvl w:val="0"/>
          <w:numId w:val="3"/>
        </w:numPr>
        <w:rPr>
          <w:rFonts w:ascii="Arial" w:hAnsi="Arial" w:cs="Arial"/>
          <w:sz w:val="20"/>
          <w:szCs w:val="20"/>
        </w:rPr>
      </w:pPr>
      <w:r>
        <w:rPr>
          <w:rFonts w:ascii="Arial" w:hAnsi="Arial" w:cs="Arial"/>
          <w:sz w:val="20"/>
          <w:szCs w:val="20"/>
        </w:rPr>
        <w:t>Commencing 1 January 2023 introduce new 10-tier precinct-based business parklet fees, based on charging 50% of average retail rents for annual business parklets, and a rate 70% for seasonal parklets.</w:t>
      </w:r>
    </w:p>
    <w:p w14:paraId="400CDFCA" w14:textId="77777777" w:rsidR="00B13D47" w:rsidRDefault="00B13D47" w:rsidP="00B13D47">
      <w:pPr>
        <w:pStyle w:val="ListParagraph"/>
        <w:rPr>
          <w:rFonts w:ascii="Arial" w:hAnsi="Arial" w:cs="Arial"/>
          <w:sz w:val="20"/>
          <w:szCs w:val="20"/>
        </w:rPr>
      </w:pPr>
    </w:p>
    <w:p w14:paraId="7F624D8B" w14:textId="632DD56A" w:rsidR="00D42B40" w:rsidRDefault="00D42B40" w:rsidP="00D42B40">
      <w:pPr>
        <w:pStyle w:val="ListParagraph"/>
        <w:numPr>
          <w:ilvl w:val="0"/>
          <w:numId w:val="3"/>
        </w:numPr>
        <w:rPr>
          <w:rFonts w:ascii="Arial" w:hAnsi="Arial" w:cs="Arial"/>
          <w:sz w:val="20"/>
          <w:szCs w:val="20"/>
        </w:rPr>
      </w:pPr>
      <w:r>
        <w:rPr>
          <w:rFonts w:ascii="Arial" w:hAnsi="Arial" w:cs="Arial"/>
          <w:sz w:val="20"/>
          <w:szCs w:val="20"/>
        </w:rPr>
        <w:t>Supporting businesses in areas with high vacancy rates by charging the cheaper ‘</w:t>
      </w:r>
      <w:r w:rsidR="009D2881">
        <w:rPr>
          <w:rFonts w:ascii="Arial" w:hAnsi="Arial" w:cs="Arial"/>
          <w:sz w:val="20"/>
          <w:szCs w:val="20"/>
        </w:rPr>
        <w:t>Tier 1’</w:t>
      </w:r>
      <w:r>
        <w:rPr>
          <w:rFonts w:ascii="Arial" w:hAnsi="Arial" w:cs="Arial"/>
          <w:sz w:val="20"/>
          <w:szCs w:val="20"/>
        </w:rPr>
        <w:t xml:space="preserve"> rate in the Acland Street Primary, Carlisle Street Primary and Fitzroy Street Primary areas, as defined in the maps of the current Footpath Trading Fee Policy.</w:t>
      </w:r>
    </w:p>
    <w:p w14:paraId="281A6278" w14:textId="77777777" w:rsidR="00B13D47" w:rsidRDefault="00B13D47" w:rsidP="00B13D47">
      <w:pPr>
        <w:rPr>
          <w:rFonts w:ascii="Arial" w:hAnsi="Arial"/>
          <w:sz w:val="20"/>
        </w:rPr>
      </w:pPr>
    </w:p>
    <w:p w14:paraId="09A6E058" w14:textId="4BCAF931" w:rsidR="00F95654" w:rsidRDefault="00F95654" w:rsidP="00F95654">
      <w:pPr>
        <w:rPr>
          <w:rFonts w:ascii="Arial" w:hAnsi="Arial"/>
          <w:b/>
          <w:bCs/>
          <w:color w:val="2F5496" w:themeColor="accent1" w:themeShade="BF"/>
          <w:sz w:val="24"/>
          <w:szCs w:val="28"/>
        </w:rPr>
      </w:pPr>
      <w:r>
        <w:rPr>
          <w:rFonts w:ascii="Arial" w:hAnsi="Arial"/>
          <w:b/>
          <w:bCs/>
          <w:color w:val="2F5496" w:themeColor="accent1" w:themeShade="BF"/>
          <w:sz w:val="24"/>
          <w:szCs w:val="28"/>
        </w:rPr>
        <w:t xml:space="preserve">Footpath Trading </w:t>
      </w:r>
      <w:r w:rsidR="00844A1C">
        <w:rPr>
          <w:rFonts w:ascii="Arial" w:hAnsi="Arial"/>
          <w:b/>
          <w:bCs/>
          <w:color w:val="2F5496" w:themeColor="accent1" w:themeShade="BF"/>
          <w:sz w:val="24"/>
          <w:szCs w:val="28"/>
        </w:rPr>
        <w:t>Fees</w:t>
      </w:r>
    </w:p>
    <w:p w14:paraId="3665CCC1" w14:textId="77777777" w:rsidR="00844A1C" w:rsidRDefault="00844A1C" w:rsidP="00F95654">
      <w:pPr>
        <w:rPr>
          <w:rFonts w:ascii="Arial" w:hAnsi="Arial"/>
          <w:sz w:val="20"/>
        </w:rPr>
      </w:pPr>
    </w:p>
    <w:p w14:paraId="61F953B4" w14:textId="7F3F31C8" w:rsidR="00F95654" w:rsidRDefault="00F95654" w:rsidP="00F95654">
      <w:pPr>
        <w:rPr>
          <w:rFonts w:ascii="Arial" w:hAnsi="Arial"/>
          <w:sz w:val="20"/>
        </w:rPr>
      </w:pPr>
      <w:r>
        <w:rPr>
          <w:rFonts w:ascii="Arial" w:hAnsi="Arial"/>
          <w:sz w:val="20"/>
        </w:rPr>
        <w:t>To support business recovery footpath trading fees have not been charged to businesses since 1 April 2020. Fees are proposed to be reintroduced in 2022/23 financial during the high season from 1 November</w:t>
      </w:r>
      <w:r w:rsidR="009E1781">
        <w:rPr>
          <w:rFonts w:ascii="Arial" w:hAnsi="Arial"/>
          <w:sz w:val="20"/>
        </w:rPr>
        <w:t xml:space="preserve"> 2022</w:t>
      </w:r>
      <w:r>
        <w:rPr>
          <w:rFonts w:ascii="Arial" w:hAnsi="Arial"/>
          <w:sz w:val="20"/>
        </w:rPr>
        <w:t>.</w:t>
      </w:r>
    </w:p>
    <w:p w14:paraId="350D0206" w14:textId="77777777" w:rsidR="00F95654" w:rsidRDefault="00F95654" w:rsidP="00F95654">
      <w:pPr>
        <w:rPr>
          <w:rFonts w:ascii="Arial" w:hAnsi="Arial"/>
          <w:sz w:val="20"/>
        </w:rPr>
      </w:pPr>
    </w:p>
    <w:p w14:paraId="4F136DA8" w14:textId="77777777" w:rsidR="00F95654" w:rsidRDefault="009E1781" w:rsidP="00F95654">
      <w:pPr>
        <w:rPr>
          <w:rFonts w:ascii="Arial" w:hAnsi="Arial"/>
          <w:sz w:val="20"/>
        </w:rPr>
      </w:pPr>
      <w:r>
        <w:rPr>
          <w:rFonts w:ascii="Arial" w:hAnsi="Arial"/>
          <w:sz w:val="20"/>
        </w:rPr>
        <w:t>Council’s</w:t>
      </w:r>
      <w:r w:rsidR="00F95654">
        <w:rPr>
          <w:rFonts w:ascii="Arial" w:hAnsi="Arial"/>
          <w:sz w:val="20"/>
        </w:rPr>
        <w:t xml:space="preserve"> Footpath Trading Fee Policy adopted in May 2019, uses the annual retail rent valuation data and </w:t>
      </w:r>
      <w:r>
        <w:rPr>
          <w:rFonts w:ascii="Arial" w:hAnsi="Arial"/>
          <w:sz w:val="20"/>
        </w:rPr>
        <w:t xml:space="preserve">ground floor commercial </w:t>
      </w:r>
      <w:r w:rsidR="00F95654">
        <w:rPr>
          <w:rFonts w:ascii="Arial" w:hAnsi="Arial"/>
          <w:sz w:val="20"/>
        </w:rPr>
        <w:t xml:space="preserve">vacancy rates of each precinct to inform the outdoor dining charges across 22 individually rated areas. </w:t>
      </w:r>
    </w:p>
    <w:p w14:paraId="376298D4" w14:textId="77777777" w:rsidR="00F95654" w:rsidRDefault="00F95654" w:rsidP="00F95654">
      <w:pPr>
        <w:rPr>
          <w:rFonts w:ascii="Arial" w:hAnsi="Arial"/>
          <w:sz w:val="20"/>
        </w:rPr>
      </w:pPr>
    </w:p>
    <w:p w14:paraId="5C8DCBD7" w14:textId="72431666" w:rsidR="00F95654" w:rsidRDefault="009E1781" w:rsidP="4708566A">
      <w:pPr>
        <w:rPr>
          <w:rFonts w:ascii="Arial" w:hAnsi="Arial"/>
          <w:sz w:val="20"/>
          <w:szCs w:val="20"/>
        </w:rPr>
      </w:pPr>
      <w:r w:rsidRPr="4708566A">
        <w:rPr>
          <w:rFonts w:ascii="Arial" w:hAnsi="Arial"/>
          <w:sz w:val="20"/>
          <w:szCs w:val="20"/>
        </w:rPr>
        <w:t>According to the City of Port Phillip Valuation data obtained for 2022, o</w:t>
      </w:r>
      <w:r w:rsidR="00F95654" w:rsidRPr="4708566A">
        <w:rPr>
          <w:rFonts w:ascii="Arial" w:hAnsi="Arial"/>
          <w:sz w:val="20"/>
          <w:szCs w:val="20"/>
        </w:rPr>
        <w:t xml:space="preserve">n average retail rents have </w:t>
      </w:r>
      <w:r w:rsidRPr="4708566A">
        <w:rPr>
          <w:rFonts w:ascii="Arial" w:hAnsi="Arial"/>
          <w:sz w:val="20"/>
          <w:szCs w:val="20"/>
        </w:rPr>
        <w:t xml:space="preserve">either </w:t>
      </w:r>
      <w:r w:rsidR="00F95654" w:rsidRPr="4708566A">
        <w:rPr>
          <w:rFonts w:ascii="Arial" w:hAnsi="Arial"/>
          <w:sz w:val="20"/>
          <w:szCs w:val="20"/>
        </w:rPr>
        <w:t>remained the same or increased up to 11% since 2021. The average increase was 5.3%. As there have been no retail rent decreases in the area of the precincts, the ‘Revitalisation rate’ is not automatically triggered to an area.</w:t>
      </w:r>
    </w:p>
    <w:p w14:paraId="46D1D43E" w14:textId="77777777" w:rsidR="00F95654" w:rsidRDefault="00F95654" w:rsidP="00F95654">
      <w:pPr>
        <w:rPr>
          <w:rFonts w:ascii="Arial" w:hAnsi="Arial"/>
          <w:sz w:val="20"/>
        </w:rPr>
      </w:pPr>
    </w:p>
    <w:p w14:paraId="008E5E5C" w14:textId="1A2682E5" w:rsidR="00844A1C" w:rsidRDefault="00844A1C" w:rsidP="00844A1C">
      <w:pPr>
        <w:rPr>
          <w:rFonts w:ascii="Arial" w:hAnsi="Arial"/>
          <w:sz w:val="20"/>
        </w:rPr>
      </w:pPr>
      <w:r>
        <w:rPr>
          <w:rFonts w:ascii="Arial" w:hAnsi="Arial"/>
          <w:sz w:val="20"/>
        </w:rPr>
        <w:t>To support business in the areas of high commercial vacancies, the Revitalisation rate is proposed to be used in the Fitzroy Street Primary, Acland Street Primary and Carlisle Street Primary areas shown in Table 1.</w:t>
      </w:r>
    </w:p>
    <w:p w14:paraId="70C691E3" w14:textId="77777777" w:rsidR="00844A1C" w:rsidRDefault="00844A1C" w:rsidP="00844A1C">
      <w:pPr>
        <w:rPr>
          <w:rFonts w:ascii="Arial" w:hAnsi="Arial"/>
          <w:sz w:val="20"/>
        </w:rPr>
      </w:pPr>
    </w:p>
    <w:p w14:paraId="44172953" w14:textId="27ADE3B3" w:rsidR="00F95654" w:rsidRDefault="00F95654" w:rsidP="00F95654">
      <w:pPr>
        <w:rPr>
          <w:rFonts w:ascii="Arial" w:hAnsi="Arial"/>
          <w:b/>
          <w:bCs/>
          <w:sz w:val="20"/>
        </w:rPr>
      </w:pPr>
      <w:r>
        <w:rPr>
          <w:rFonts w:ascii="Arial" w:hAnsi="Arial"/>
          <w:b/>
          <w:bCs/>
          <w:sz w:val="20"/>
        </w:rPr>
        <w:t xml:space="preserve">Table 1 - Estimated impact </w:t>
      </w:r>
      <w:r w:rsidR="00144153">
        <w:rPr>
          <w:rFonts w:ascii="Arial" w:hAnsi="Arial"/>
          <w:b/>
          <w:bCs/>
          <w:sz w:val="20"/>
        </w:rPr>
        <w:t xml:space="preserve">on 2022/23 budget using </w:t>
      </w:r>
      <w:r>
        <w:rPr>
          <w:rFonts w:ascii="Arial" w:hAnsi="Arial"/>
          <w:b/>
          <w:bCs/>
          <w:sz w:val="20"/>
        </w:rPr>
        <w:t xml:space="preserve">Revitalisation rate </w:t>
      </w:r>
    </w:p>
    <w:tbl>
      <w:tblPr>
        <w:tblW w:w="6091" w:type="dxa"/>
        <w:tblInd w:w="-3" w:type="dxa"/>
        <w:tblLook w:val="04A0" w:firstRow="1" w:lastRow="0" w:firstColumn="1" w:lastColumn="0" w:noHBand="0" w:noVBand="1"/>
      </w:tblPr>
      <w:tblGrid>
        <w:gridCol w:w="2913"/>
        <w:gridCol w:w="1760"/>
        <w:gridCol w:w="1418"/>
      </w:tblGrid>
      <w:tr w:rsidR="00844A1C" w14:paraId="10F38F3F" w14:textId="77777777" w:rsidTr="00844A1C">
        <w:trPr>
          <w:trHeight w:val="523"/>
        </w:trPr>
        <w:tc>
          <w:tcPr>
            <w:tcW w:w="2913" w:type="dxa"/>
            <w:tcBorders>
              <w:top w:val="single" w:sz="4" w:space="0" w:color="FF0000"/>
              <w:left w:val="single" w:sz="4" w:space="0" w:color="FF0000"/>
              <w:bottom w:val="single" w:sz="4" w:space="0" w:color="FF0000"/>
              <w:right w:val="single" w:sz="4" w:space="0" w:color="FF0000"/>
            </w:tcBorders>
            <w:shd w:val="clear" w:color="auto" w:fill="E2EFDA"/>
            <w:hideMark/>
          </w:tcPr>
          <w:p w14:paraId="47992660" w14:textId="77777777" w:rsidR="00844A1C" w:rsidRDefault="00844A1C">
            <w:pP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 xml:space="preserve">Area </w:t>
            </w:r>
          </w:p>
        </w:tc>
        <w:tc>
          <w:tcPr>
            <w:tcW w:w="1760" w:type="dxa"/>
            <w:tcBorders>
              <w:top w:val="single" w:sz="4" w:space="0" w:color="FF0000"/>
              <w:left w:val="nil"/>
              <w:bottom w:val="single" w:sz="4" w:space="0" w:color="FF0000"/>
              <w:right w:val="single" w:sz="4" w:space="0" w:color="FF0000"/>
            </w:tcBorders>
            <w:shd w:val="clear" w:color="auto" w:fill="E2EFDA"/>
            <w:hideMark/>
          </w:tcPr>
          <w:p w14:paraId="596206D1" w14:textId="06C48DED" w:rsidR="00844A1C" w:rsidRDefault="00844A1C">
            <w:pP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 xml:space="preserve">Ground floor commercial vacancy rate </w:t>
            </w:r>
            <w:r>
              <w:rPr>
                <w:rFonts w:ascii="Arial" w:eastAsia="Times New Roman" w:hAnsi="Arial" w:cs="Arial"/>
                <w:b/>
                <w:bCs/>
                <w:color w:val="000000"/>
                <w:sz w:val="20"/>
                <w:szCs w:val="20"/>
                <w:lang w:eastAsia="en-AU"/>
              </w:rPr>
              <w:br/>
              <w:t>March 2022</w:t>
            </w:r>
          </w:p>
        </w:tc>
        <w:tc>
          <w:tcPr>
            <w:tcW w:w="1418" w:type="dxa"/>
            <w:tcBorders>
              <w:top w:val="single" w:sz="4" w:space="0" w:color="FF0000"/>
              <w:left w:val="nil"/>
              <w:bottom w:val="single" w:sz="4" w:space="0" w:color="FF0000"/>
              <w:right w:val="single" w:sz="4" w:space="0" w:color="FF0000"/>
            </w:tcBorders>
            <w:shd w:val="clear" w:color="auto" w:fill="E2EFDA"/>
            <w:hideMark/>
          </w:tcPr>
          <w:p w14:paraId="20AC66E1" w14:textId="794BB845" w:rsidR="00844A1C" w:rsidRDefault="0054688D">
            <w:pP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Estimated i</w:t>
            </w:r>
            <w:r w:rsidR="00844A1C">
              <w:rPr>
                <w:rFonts w:ascii="Arial" w:eastAsia="Times New Roman" w:hAnsi="Arial" w:cs="Arial"/>
                <w:b/>
                <w:bCs/>
                <w:color w:val="000000"/>
                <w:sz w:val="20"/>
                <w:szCs w:val="20"/>
                <w:lang w:eastAsia="en-AU"/>
              </w:rPr>
              <w:t>mpact on draft budget</w:t>
            </w:r>
          </w:p>
        </w:tc>
      </w:tr>
      <w:tr w:rsidR="00844A1C" w14:paraId="73F99BF4" w14:textId="77777777" w:rsidTr="00844A1C">
        <w:trPr>
          <w:trHeight w:val="166"/>
        </w:trPr>
        <w:tc>
          <w:tcPr>
            <w:tcW w:w="2913" w:type="dxa"/>
            <w:tcBorders>
              <w:top w:val="nil"/>
              <w:left w:val="single" w:sz="4" w:space="0" w:color="FF0000"/>
              <w:bottom w:val="single" w:sz="4" w:space="0" w:color="FF0000"/>
              <w:right w:val="single" w:sz="4" w:space="0" w:color="FF0000"/>
            </w:tcBorders>
            <w:shd w:val="clear" w:color="auto" w:fill="FFFFFF"/>
            <w:noWrap/>
            <w:vAlign w:val="bottom"/>
            <w:hideMark/>
          </w:tcPr>
          <w:p w14:paraId="6ACB1EA1" w14:textId="77777777" w:rsidR="00844A1C" w:rsidRDefault="00844A1C">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Fitzroy Street Primary</w:t>
            </w:r>
          </w:p>
        </w:tc>
        <w:tc>
          <w:tcPr>
            <w:tcW w:w="1760" w:type="dxa"/>
            <w:tcBorders>
              <w:top w:val="nil"/>
              <w:left w:val="nil"/>
              <w:bottom w:val="single" w:sz="4" w:space="0" w:color="FF0000"/>
              <w:right w:val="single" w:sz="4" w:space="0" w:color="FF0000"/>
            </w:tcBorders>
            <w:shd w:val="clear" w:color="auto" w:fill="FFFFFF"/>
            <w:noWrap/>
            <w:vAlign w:val="bottom"/>
            <w:hideMark/>
          </w:tcPr>
          <w:p w14:paraId="0D62EFEA" w14:textId="45E8AA4B" w:rsidR="00844A1C" w:rsidRDefault="00844A1C">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31%</w:t>
            </w:r>
          </w:p>
        </w:tc>
        <w:tc>
          <w:tcPr>
            <w:tcW w:w="1418" w:type="dxa"/>
            <w:tcBorders>
              <w:top w:val="nil"/>
              <w:left w:val="nil"/>
              <w:bottom w:val="single" w:sz="4" w:space="0" w:color="FF0000"/>
              <w:right w:val="single" w:sz="4" w:space="0" w:color="FF0000"/>
            </w:tcBorders>
            <w:shd w:val="clear" w:color="auto" w:fill="FFFFFF"/>
            <w:noWrap/>
            <w:vAlign w:val="bottom"/>
            <w:hideMark/>
          </w:tcPr>
          <w:p w14:paraId="279AAD5D" w14:textId="77777777" w:rsidR="00844A1C" w:rsidRDefault="00844A1C">
            <w:pPr>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$7,956</w:t>
            </w:r>
          </w:p>
        </w:tc>
      </w:tr>
      <w:tr w:rsidR="00844A1C" w14:paraId="03EBFD60" w14:textId="77777777" w:rsidTr="00844A1C">
        <w:trPr>
          <w:trHeight w:val="197"/>
        </w:trPr>
        <w:tc>
          <w:tcPr>
            <w:tcW w:w="2913" w:type="dxa"/>
            <w:tcBorders>
              <w:top w:val="nil"/>
              <w:left w:val="single" w:sz="4" w:space="0" w:color="FF0000"/>
              <w:bottom w:val="single" w:sz="4" w:space="0" w:color="FF0000"/>
              <w:right w:val="single" w:sz="4" w:space="0" w:color="FF0000"/>
            </w:tcBorders>
            <w:shd w:val="clear" w:color="auto" w:fill="F2F2F2"/>
            <w:noWrap/>
            <w:vAlign w:val="bottom"/>
            <w:hideMark/>
          </w:tcPr>
          <w:p w14:paraId="49E0D14E" w14:textId="77777777" w:rsidR="00844A1C" w:rsidRDefault="00844A1C">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Acland Street Primary</w:t>
            </w:r>
          </w:p>
        </w:tc>
        <w:tc>
          <w:tcPr>
            <w:tcW w:w="1760" w:type="dxa"/>
            <w:tcBorders>
              <w:top w:val="nil"/>
              <w:left w:val="nil"/>
              <w:bottom w:val="single" w:sz="4" w:space="0" w:color="FF0000"/>
              <w:right w:val="single" w:sz="4" w:space="0" w:color="FF0000"/>
            </w:tcBorders>
            <w:shd w:val="clear" w:color="auto" w:fill="F2F2F2"/>
            <w:noWrap/>
            <w:vAlign w:val="bottom"/>
            <w:hideMark/>
          </w:tcPr>
          <w:p w14:paraId="50CA8C4E" w14:textId="07D6D6BC" w:rsidR="00844A1C" w:rsidRDefault="00844A1C">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20%</w:t>
            </w:r>
          </w:p>
        </w:tc>
        <w:tc>
          <w:tcPr>
            <w:tcW w:w="1418" w:type="dxa"/>
            <w:tcBorders>
              <w:top w:val="nil"/>
              <w:left w:val="nil"/>
              <w:bottom w:val="single" w:sz="4" w:space="0" w:color="FF0000"/>
              <w:right w:val="single" w:sz="4" w:space="0" w:color="FF0000"/>
            </w:tcBorders>
            <w:shd w:val="clear" w:color="auto" w:fill="F2F2F2"/>
            <w:noWrap/>
            <w:vAlign w:val="bottom"/>
            <w:hideMark/>
          </w:tcPr>
          <w:p w14:paraId="0575668E" w14:textId="77777777" w:rsidR="00844A1C" w:rsidRDefault="00844A1C">
            <w:pPr>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$28,928</w:t>
            </w:r>
          </w:p>
        </w:tc>
      </w:tr>
      <w:tr w:rsidR="00844A1C" w14:paraId="6BA9E732" w14:textId="77777777" w:rsidTr="00844A1C">
        <w:trPr>
          <w:trHeight w:val="230"/>
        </w:trPr>
        <w:tc>
          <w:tcPr>
            <w:tcW w:w="2913" w:type="dxa"/>
            <w:tcBorders>
              <w:top w:val="nil"/>
              <w:left w:val="single" w:sz="4" w:space="0" w:color="FF0000"/>
              <w:bottom w:val="single" w:sz="4" w:space="0" w:color="FF0000"/>
              <w:right w:val="single" w:sz="4" w:space="0" w:color="FF0000"/>
            </w:tcBorders>
            <w:shd w:val="clear" w:color="auto" w:fill="FFFFFF"/>
            <w:hideMark/>
          </w:tcPr>
          <w:p w14:paraId="0F6410AA" w14:textId="77777777" w:rsidR="00844A1C" w:rsidRDefault="00844A1C">
            <w:p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Carlisle Street Primary</w:t>
            </w:r>
          </w:p>
        </w:tc>
        <w:tc>
          <w:tcPr>
            <w:tcW w:w="1760" w:type="dxa"/>
            <w:tcBorders>
              <w:top w:val="nil"/>
              <w:left w:val="nil"/>
              <w:bottom w:val="single" w:sz="4" w:space="0" w:color="FF0000"/>
              <w:right w:val="single" w:sz="4" w:space="0" w:color="FF0000"/>
            </w:tcBorders>
            <w:shd w:val="clear" w:color="auto" w:fill="FFFFFF"/>
            <w:noWrap/>
            <w:vAlign w:val="bottom"/>
            <w:hideMark/>
          </w:tcPr>
          <w:p w14:paraId="0CDFF37F" w14:textId="768D54D3" w:rsidR="00844A1C" w:rsidRDefault="00844A1C">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17%</w:t>
            </w:r>
          </w:p>
        </w:tc>
        <w:tc>
          <w:tcPr>
            <w:tcW w:w="1418" w:type="dxa"/>
            <w:tcBorders>
              <w:top w:val="nil"/>
              <w:left w:val="nil"/>
              <w:bottom w:val="single" w:sz="4" w:space="0" w:color="FF0000"/>
              <w:right w:val="single" w:sz="4" w:space="0" w:color="FF0000"/>
            </w:tcBorders>
            <w:shd w:val="clear" w:color="auto" w:fill="FFFFFF"/>
            <w:noWrap/>
            <w:vAlign w:val="bottom"/>
            <w:hideMark/>
          </w:tcPr>
          <w:p w14:paraId="068D0949" w14:textId="77777777" w:rsidR="00844A1C" w:rsidRDefault="00844A1C">
            <w:pPr>
              <w:jc w:val="right"/>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$3,080</w:t>
            </w:r>
          </w:p>
        </w:tc>
      </w:tr>
      <w:tr w:rsidR="00844A1C" w14:paraId="27A5A2AE" w14:textId="77777777" w:rsidTr="00844A1C">
        <w:trPr>
          <w:trHeight w:val="261"/>
        </w:trPr>
        <w:tc>
          <w:tcPr>
            <w:tcW w:w="2913" w:type="dxa"/>
            <w:tcBorders>
              <w:top w:val="nil"/>
              <w:left w:val="single" w:sz="4" w:space="0" w:color="FF0000"/>
              <w:bottom w:val="single" w:sz="4" w:space="0" w:color="FF0000"/>
              <w:right w:val="single" w:sz="4" w:space="0" w:color="FF0000"/>
            </w:tcBorders>
            <w:shd w:val="clear" w:color="auto" w:fill="F2F2F2"/>
            <w:noWrap/>
            <w:vAlign w:val="bottom"/>
          </w:tcPr>
          <w:p w14:paraId="70175369" w14:textId="77777777" w:rsidR="00844A1C" w:rsidRDefault="00844A1C">
            <w:pPr>
              <w:jc w:val="center"/>
              <w:rPr>
                <w:rFonts w:ascii="Arial" w:eastAsia="Times New Roman" w:hAnsi="Arial" w:cs="Arial"/>
                <w:b/>
                <w:bCs/>
                <w:color w:val="000000"/>
                <w:sz w:val="20"/>
                <w:szCs w:val="20"/>
                <w:lang w:eastAsia="en-AU"/>
              </w:rPr>
            </w:pPr>
          </w:p>
        </w:tc>
        <w:tc>
          <w:tcPr>
            <w:tcW w:w="1760" w:type="dxa"/>
            <w:tcBorders>
              <w:top w:val="nil"/>
              <w:left w:val="nil"/>
              <w:bottom w:val="single" w:sz="4" w:space="0" w:color="FF0000"/>
              <w:right w:val="single" w:sz="4" w:space="0" w:color="FF0000"/>
            </w:tcBorders>
            <w:shd w:val="clear" w:color="auto" w:fill="F2F2F2"/>
            <w:noWrap/>
            <w:vAlign w:val="bottom"/>
          </w:tcPr>
          <w:p w14:paraId="49E7D2DD" w14:textId="30B28A3D" w:rsidR="00844A1C" w:rsidRDefault="00844A1C">
            <w:pPr>
              <w:jc w:val="center"/>
              <w:rPr>
                <w:rFonts w:ascii="Arial" w:eastAsia="Times New Roman" w:hAnsi="Arial" w:cs="Arial"/>
                <w:color w:val="000000"/>
                <w:sz w:val="20"/>
                <w:szCs w:val="20"/>
                <w:lang w:eastAsia="en-AU"/>
              </w:rPr>
            </w:pPr>
          </w:p>
        </w:tc>
        <w:tc>
          <w:tcPr>
            <w:tcW w:w="1418" w:type="dxa"/>
            <w:tcBorders>
              <w:top w:val="nil"/>
              <w:left w:val="nil"/>
              <w:bottom w:val="single" w:sz="4" w:space="0" w:color="FF0000"/>
              <w:right w:val="single" w:sz="4" w:space="0" w:color="FF0000"/>
            </w:tcBorders>
            <w:shd w:val="clear" w:color="auto" w:fill="F2F2F2"/>
            <w:noWrap/>
            <w:vAlign w:val="bottom"/>
            <w:hideMark/>
          </w:tcPr>
          <w:p w14:paraId="5D913B87" w14:textId="77777777" w:rsidR="00844A1C" w:rsidRDefault="00844A1C">
            <w:pPr>
              <w:jc w:val="right"/>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$39,946</w:t>
            </w:r>
          </w:p>
        </w:tc>
      </w:tr>
    </w:tbl>
    <w:p w14:paraId="185EB1A0" w14:textId="77777777" w:rsidR="00F95654" w:rsidRDefault="00F95654" w:rsidP="00F95654">
      <w:pPr>
        <w:rPr>
          <w:rFonts w:ascii="Arial" w:hAnsi="Arial"/>
          <w:b/>
          <w:bCs/>
          <w:sz w:val="20"/>
        </w:rPr>
      </w:pPr>
    </w:p>
    <w:p w14:paraId="238B0FCC" w14:textId="77777777" w:rsidR="003C0C9E" w:rsidRDefault="003C0C9E">
      <w:pPr>
        <w:spacing w:after="160" w:line="259" w:lineRule="auto"/>
        <w:rPr>
          <w:rFonts w:ascii="Arial" w:hAnsi="Arial"/>
          <w:b/>
          <w:bCs/>
          <w:color w:val="2F5496" w:themeColor="accent1" w:themeShade="BF"/>
          <w:sz w:val="24"/>
          <w:szCs w:val="28"/>
        </w:rPr>
      </w:pPr>
      <w:r>
        <w:rPr>
          <w:rFonts w:ascii="Arial" w:hAnsi="Arial"/>
          <w:b/>
          <w:bCs/>
          <w:color w:val="2F5496" w:themeColor="accent1" w:themeShade="BF"/>
          <w:sz w:val="24"/>
          <w:szCs w:val="28"/>
        </w:rPr>
        <w:br w:type="page"/>
      </w:r>
    </w:p>
    <w:p w14:paraId="3CD95FAC" w14:textId="374D177E" w:rsidR="00F95654" w:rsidRDefault="002244F4" w:rsidP="00F95654">
      <w:pPr>
        <w:rPr>
          <w:rFonts w:ascii="Arial" w:hAnsi="Arial"/>
          <w:b/>
          <w:bCs/>
          <w:sz w:val="20"/>
        </w:rPr>
      </w:pPr>
      <w:r>
        <w:rPr>
          <w:rFonts w:ascii="Arial" w:hAnsi="Arial"/>
          <w:b/>
          <w:bCs/>
          <w:color w:val="2F5496" w:themeColor="accent1" w:themeShade="BF"/>
          <w:sz w:val="24"/>
          <w:szCs w:val="28"/>
        </w:rPr>
        <w:lastRenderedPageBreak/>
        <w:t>N</w:t>
      </w:r>
      <w:r w:rsidR="00F95654">
        <w:rPr>
          <w:rFonts w:ascii="Arial" w:hAnsi="Arial"/>
          <w:b/>
          <w:bCs/>
          <w:color w:val="2F5496" w:themeColor="accent1" w:themeShade="BF"/>
          <w:sz w:val="24"/>
          <w:szCs w:val="28"/>
        </w:rPr>
        <w:t>ew Business Parklet Fees</w:t>
      </w:r>
    </w:p>
    <w:p w14:paraId="71665E5E" w14:textId="77777777" w:rsidR="00844A1C" w:rsidRDefault="00844A1C" w:rsidP="00F95654">
      <w:pPr>
        <w:rPr>
          <w:rFonts w:ascii="Arial" w:hAnsi="Arial"/>
          <w:sz w:val="20"/>
        </w:rPr>
      </w:pPr>
    </w:p>
    <w:p w14:paraId="7A381456" w14:textId="0B2E72E8" w:rsidR="00F95654" w:rsidRDefault="00F95654" w:rsidP="4708566A">
      <w:pPr>
        <w:rPr>
          <w:rFonts w:ascii="Arial" w:hAnsi="Arial"/>
          <w:sz w:val="20"/>
          <w:szCs w:val="20"/>
        </w:rPr>
      </w:pPr>
      <w:r w:rsidRPr="4708566A">
        <w:rPr>
          <w:rFonts w:ascii="Arial" w:hAnsi="Arial"/>
          <w:sz w:val="20"/>
          <w:szCs w:val="20"/>
        </w:rPr>
        <w:t xml:space="preserve">Since the </w:t>
      </w:r>
      <w:r w:rsidR="00383327" w:rsidRPr="4708566A">
        <w:rPr>
          <w:rFonts w:ascii="Arial" w:hAnsi="Arial"/>
          <w:sz w:val="20"/>
          <w:szCs w:val="20"/>
        </w:rPr>
        <w:t>commencement</w:t>
      </w:r>
      <w:r w:rsidRPr="4708566A">
        <w:rPr>
          <w:rFonts w:ascii="Arial" w:hAnsi="Arial"/>
          <w:sz w:val="20"/>
          <w:szCs w:val="20"/>
        </w:rPr>
        <w:t xml:space="preserve"> of the business parklet trial </w:t>
      </w:r>
      <w:r w:rsidR="00383327" w:rsidRPr="4708566A">
        <w:rPr>
          <w:rFonts w:ascii="Arial" w:hAnsi="Arial"/>
          <w:sz w:val="20"/>
          <w:szCs w:val="20"/>
        </w:rPr>
        <w:t>in</w:t>
      </w:r>
      <w:r w:rsidRPr="4708566A">
        <w:rPr>
          <w:rFonts w:ascii="Arial" w:hAnsi="Arial"/>
          <w:sz w:val="20"/>
          <w:szCs w:val="20"/>
        </w:rPr>
        <w:t xml:space="preserve"> October 2020, these </w:t>
      </w:r>
      <w:r w:rsidR="00B56C6B" w:rsidRPr="4708566A">
        <w:rPr>
          <w:rFonts w:ascii="Arial" w:hAnsi="Arial"/>
          <w:sz w:val="20"/>
          <w:szCs w:val="20"/>
        </w:rPr>
        <w:t xml:space="preserve">activations </w:t>
      </w:r>
      <w:r w:rsidRPr="4708566A">
        <w:rPr>
          <w:rFonts w:ascii="Arial" w:hAnsi="Arial"/>
          <w:sz w:val="20"/>
          <w:szCs w:val="20"/>
        </w:rPr>
        <w:t>have remained free to support of business recovery.</w:t>
      </w:r>
      <w:r w:rsidR="00383327" w:rsidRPr="4708566A">
        <w:rPr>
          <w:rFonts w:ascii="Arial" w:hAnsi="Arial"/>
          <w:sz w:val="20"/>
          <w:szCs w:val="20"/>
        </w:rPr>
        <w:t xml:space="preserve"> </w:t>
      </w:r>
      <w:r w:rsidRPr="4708566A">
        <w:rPr>
          <w:rFonts w:ascii="Arial" w:hAnsi="Arial"/>
          <w:sz w:val="20"/>
          <w:szCs w:val="20"/>
        </w:rPr>
        <w:t xml:space="preserve">In October 2021 Council adopted a Business Parklet Policy and Guidelines to manage these commercial occupations in the longer-term, with the opportunity for businesses to apply for an annual or seasonal </w:t>
      </w:r>
      <w:r w:rsidR="00B56C6B" w:rsidRPr="4708566A">
        <w:rPr>
          <w:rFonts w:ascii="Arial" w:hAnsi="Arial"/>
          <w:sz w:val="20"/>
          <w:szCs w:val="20"/>
        </w:rPr>
        <w:t xml:space="preserve">business parklet </w:t>
      </w:r>
      <w:r w:rsidRPr="4708566A">
        <w:rPr>
          <w:rFonts w:ascii="Arial" w:hAnsi="Arial"/>
          <w:sz w:val="20"/>
          <w:szCs w:val="20"/>
        </w:rPr>
        <w:t>permit.</w:t>
      </w:r>
    </w:p>
    <w:p w14:paraId="547112B0" w14:textId="77777777" w:rsidR="00F95654" w:rsidRDefault="00F95654" w:rsidP="00F95654">
      <w:pPr>
        <w:rPr>
          <w:rFonts w:ascii="Arial" w:hAnsi="Arial"/>
          <w:sz w:val="20"/>
        </w:rPr>
      </w:pPr>
    </w:p>
    <w:p w14:paraId="10E6D610" w14:textId="1AE9FFD0" w:rsidR="00F95654" w:rsidRDefault="00F95654" w:rsidP="00F95654">
      <w:pPr>
        <w:rPr>
          <w:rFonts w:ascii="Arial" w:hAnsi="Arial"/>
          <w:sz w:val="20"/>
        </w:rPr>
      </w:pPr>
      <w:r>
        <w:rPr>
          <w:rFonts w:ascii="Arial" w:hAnsi="Arial"/>
          <w:sz w:val="20"/>
        </w:rPr>
        <w:t xml:space="preserve">Business </w:t>
      </w:r>
      <w:r w:rsidR="00383327">
        <w:rPr>
          <w:rFonts w:ascii="Arial" w:hAnsi="Arial"/>
          <w:sz w:val="20"/>
        </w:rPr>
        <w:t>p</w:t>
      </w:r>
      <w:r>
        <w:rPr>
          <w:rFonts w:ascii="Arial" w:hAnsi="Arial"/>
          <w:sz w:val="20"/>
        </w:rPr>
        <w:t xml:space="preserve">arklet </w:t>
      </w:r>
      <w:r w:rsidR="00383327">
        <w:rPr>
          <w:rFonts w:ascii="Arial" w:hAnsi="Arial"/>
          <w:sz w:val="20"/>
        </w:rPr>
        <w:t>f</w:t>
      </w:r>
      <w:r>
        <w:rPr>
          <w:rFonts w:ascii="Arial" w:hAnsi="Arial"/>
          <w:sz w:val="20"/>
        </w:rPr>
        <w:t>ee</w:t>
      </w:r>
      <w:r w:rsidR="00383327">
        <w:rPr>
          <w:rFonts w:ascii="Arial" w:hAnsi="Arial"/>
          <w:sz w:val="20"/>
        </w:rPr>
        <w:t>s</w:t>
      </w:r>
      <w:r>
        <w:rPr>
          <w:rFonts w:ascii="Arial" w:hAnsi="Arial"/>
          <w:sz w:val="20"/>
        </w:rPr>
        <w:t xml:space="preserve"> </w:t>
      </w:r>
      <w:r w:rsidR="002A61C8">
        <w:rPr>
          <w:rFonts w:ascii="Arial" w:hAnsi="Arial"/>
          <w:sz w:val="20"/>
        </w:rPr>
        <w:t xml:space="preserve">would be </w:t>
      </w:r>
      <w:r>
        <w:rPr>
          <w:rFonts w:ascii="Arial" w:hAnsi="Arial"/>
          <w:sz w:val="20"/>
        </w:rPr>
        <w:t xml:space="preserve">based on the current Footpath Trading Fee policy that recognises retail rents and the value of public land varies across our city. </w:t>
      </w:r>
      <w:r w:rsidR="00383327">
        <w:rPr>
          <w:rFonts w:ascii="Arial" w:hAnsi="Arial"/>
          <w:sz w:val="20"/>
        </w:rPr>
        <w:t>A future business parklet p</w:t>
      </w:r>
      <w:r>
        <w:rPr>
          <w:rFonts w:ascii="Arial" w:hAnsi="Arial"/>
          <w:sz w:val="20"/>
        </w:rPr>
        <w:t xml:space="preserve">olicy </w:t>
      </w:r>
      <w:r w:rsidR="00383327">
        <w:rPr>
          <w:rFonts w:ascii="Arial" w:hAnsi="Arial"/>
          <w:sz w:val="20"/>
        </w:rPr>
        <w:t xml:space="preserve">would also </w:t>
      </w:r>
      <w:r>
        <w:rPr>
          <w:rFonts w:ascii="Arial" w:hAnsi="Arial"/>
          <w:sz w:val="20"/>
        </w:rPr>
        <w:t>aim to achiev</w:t>
      </w:r>
      <w:r w:rsidR="00383327">
        <w:rPr>
          <w:rFonts w:ascii="Arial" w:hAnsi="Arial"/>
          <w:sz w:val="20"/>
        </w:rPr>
        <w:t>e</w:t>
      </w:r>
      <w:r>
        <w:rPr>
          <w:rFonts w:ascii="Arial" w:hAnsi="Arial"/>
          <w:sz w:val="20"/>
        </w:rPr>
        <w:t xml:space="preserve"> </w:t>
      </w:r>
      <w:r w:rsidR="00383327">
        <w:rPr>
          <w:rFonts w:ascii="Arial" w:hAnsi="Arial"/>
          <w:sz w:val="20"/>
        </w:rPr>
        <w:t xml:space="preserve">the same </w:t>
      </w:r>
      <w:r>
        <w:rPr>
          <w:rFonts w:ascii="Arial" w:hAnsi="Arial"/>
          <w:sz w:val="20"/>
        </w:rPr>
        <w:t xml:space="preserve">equity, transparency and support the vibrancy created by </w:t>
      </w:r>
      <w:r w:rsidR="00383327">
        <w:rPr>
          <w:rFonts w:ascii="Arial" w:hAnsi="Arial"/>
          <w:sz w:val="20"/>
        </w:rPr>
        <w:t xml:space="preserve">all </w:t>
      </w:r>
      <w:r>
        <w:rPr>
          <w:rFonts w:ascii="Arial" w:hAnsi="Arial"/>
          <w:sz w:val="20"/>
        </w:rPr>
        <w:t>outdoor dining activity.</w:t>
      </w:r>
    </w:p>
    <w:p w14:paraId="02AEDB6A" w14:textId="77777777" w:rsidR="00F95654" w:rsidRDefault="00F95654" w:rsidP="00F95654">
      <w:pPr>
        <w:rPr>
          <w:rFonts w:ascii="Arial" w:hAnsi="Arial"/>
          <w:sz w:val="20"/>
        </w:rPr>
      </w:pPr>
    </w:p>
    <w:p w14:paraId="09241C72" w14:textId="5C30F4CF" w:rsidR="00F95654" w:rsidRDefault="00383327" w:rsidP="00F95654">
      <w:pPr>
        <w:rPr>
          <w:rFonts w:ascii="Arial" w:hAnsi="Arial"/>
          <w:sz w:val="20"/>
        </w:rPr>
      </w:pPr>
      <w:r>
        <w:rPr>
          <w:rFonts w:ascii="Arial" w:hAnsi="Arial"/>
          <w:sz w:val="20"/>
        </w:rPr>
        <w:t xml:space="preserve">The new business parklet fees would be across </w:t>
      </w:r>
      <w:r w:rsidR="00F95654">
        <w:rPr>
          <w:rFonts w:ascii="Arial" w:hAnsi="Arial"/>
          <w:sz w:val="20"/>
        </w:rPr>
        <w:t>1</w:t>
      </w:r>
      <w:r>
        <w:rPr>
          <w:rFonts w:ascii="Arial" w:hAnsi="Arial"/>
          <w:sz w:val="20"/>
        </w:rPr>
        <w:t>0 tiers,</w:t>
      </w:r>
      <w:r w:rsidR="002A61C8">
        <w:rPr>
          <w:rFonts w:ascii="Arial" w:hAnsi="Arial"/>
          <w:sz w:val="20"/>
        </w:rPr>
        <w:t xml:space="preserve"> </w:t>
      </w:r>
      <w:r w:rsidR="00F95654">
        <w:rPr>
          <w:rFonts w:ascii="Arial" w:hAnsi="Arial"/>
          <w:sz w:val="20"/>
        </w:rPr>
        <w:t>charging of 50</w:t>
      </w:r>
      <w:r>
        <w:rPr>
          <w:rFonts w:ascii="Arial" w:hAnsi="Arial"/>
          <w:sz w:val="20"/>
        </w:rPr>
        <w:t xml:space="preserve"> per cent </w:t>
      </w:r>
      <w:r w:rsidR="00F95654">
        <w:rPr>
          <w:rFonts w:ascii="Arial" w:hAnsi="Arial"/>
          <w:sz w:val="20"/>
        </w:rPr>
        <w:t xml:space="preserve">of average retail rents for </w:t>
      </w:r>
      <w:r>
        <w:rPr>
          <w:rFonts w:ascii="Arial" w:hAnsi="Arial"/>
          <w:sz w:val="20"/>
        </w:rPr>
        <w:t xml:space="preserve">an </w:t>
      </w:r>
      <w:r w:rsidR="00F95654">
        <w:rPr>
          <w:rFonts w:ascii="Arial" w:hAnsi="Arial"/>
          <w:sz w:val="20"/>
        </w:rPr>
        <w:t>annual businesses parklet and 70</w:t>
      </w:r>
      <w:r w:rsidRPr="00383327">
        <w:rPr>
          <w:rFonts w:ascii="Arial" w:hAnsi="Arial"/>
          <w:sz w:val="20"/>
        </w:rPr>
        <w:t xml:space="preserve"> </w:t>
      </w:r>
      <w:r>
        <w:rPr>
          <w:rFonts w:ascii="Arial" w:hAnsi="Arial"/>
          <w:sz w:val="20"/>
        </w:rPr>
        <w:t xml:space="preserve">per cent </w:t>
      </w:r>
      <w:r w:rsidR="00F95654">
        <w:rPr>
          <w:rFonts w:ascii="Arial" w:hAnsi="Arial"/>
          <w:sz w:val="20"/>
        </w:rPr>
        <w:t>for the seasonal business parklets for use between 1 October until 31 March. The 10 rates would be calculated using the mid-point of each tier, and an average of 10m</w:t>
      </w:r>
      <w:r w:rsidR="00F95654">
        <w:rPr>
          <w:rFonts w:ascii="Arial" w:hAnsi="Arial" w:cs="Arial"/>
          <w:sz w:val="20"/>
        </w:rPr>
        <w:t>²</w:t>
      </w:r>
      <w:r w:rsidR="00F95654">
        <w:rPr>
          <w:rFonts w:ascii="Arial" w:hAnsi="Arial"/>
          <w:sz w:val="20"/>
        </w:rPr>
        <w:t xml:space="preserve"> (or 10 patrons), per parking bay.</w:t>
      </w:r>
      <w:r>
        <w:rPr>
          <w:rFonts w:ascii="Arial" w:hAnsi="Arial"/>
          <w:sz w:val="20"/>
        </w:rPr>
        <w:t xml:space="preserve"> Refer to Table 2.</w:t>
      </w:r>
    </w:p>
    <w:p w14:paraId="4963F7F7" w14:textId="77777777" w:rsidR="00F95654" w:rsidRDefault="00F95654" w:rsidP="00F95654">
      <w:pPr>
        <w:rPr>
          <w:rFonts w:ascii="Arial" w:hAnsi="Arial"/>
          <w:sz w:val="20"/>
        </w:rPr>
      </w:pPr>
    </w:p>
    <w:p w14:paraId="1B2C9232" w14:textId="7D8D1C68" w:rsidR="00F95654" w:rsidRDefault="00F95654" w:rsidP="00F95654">
      <w:pPr>
        <w:tabs>
          <w:tab w:val="num" w:pos="720"/>
        </w:tabs>
        <w:rPr>
          <w:rFonts w:ascii="Arial" w:hAnsi="Arial"/>
          <w:sz w:val="20"/>
        </w:rPr>
      </w:pPr>
      <w:r>
        <w:rPr>
          <w:rFonts w:ascii="Arial" w:hAnsi="Arial"/>
          <w:sz w:val="20"/>
        </w:rPr>
        <w:t xml:space="preserve">The retail rent data used to inform these charges would be collected annually, to </w:t>
      </w:r>
      <w:r w:rsidR="002A61C8">
        <w:rPr>
          <w:rFonts w:ascii="Arial" w:hAnsi="Arial"/>
          <w:sz w:val="20"/>
        </w:rPr>
        <w:t>adjust</w:t>
      </w:r>
      <w:r>
        <w:rPr>
          <w:rFonts w:ascii="Arial" w:hAnsi="Arial"/>
          <w:sz w:val="20"/>
        </w:rPr>
        <w:t xml:space="preserve"> these </w:t>
      </w:r>
      <w:r w:rsidR="002A61C8">
        <w:rPr>
          <w:rFonts w:ascii="Arial" w:hAnsi="Arial"/>
          <w:sz w:val="20"/>
        </w:rPr>
        <w:t>fees.</w:t>
      </w:r>
      <w:r>
        <w:rPr>
          <w:rFonts w:ascii="Arial" w:hAnsi="Arial"/>
          <w:sz w:val="20"/>
        </w:rPr>
        <w:t xml:space="preserve"> </w:t>
      </w:r>
    </w:p>
    <w:p w14:paraId="17F139B2" w14:textId="77777777" w:rsidR="00F95654" w:rsidRDefault="00F95654" w:rsidP="00F95654">
      <w:pPr>
        <w:tabs>
          <w:tab w:val="num" w:pos="720"/>
        </w:tabs>
        <w:rPr>
          <w:rFonts w:ascii="Arial" w:hAnsi="Arial"/>
          <w:sz w:val="20"/>
        </w:rPr>
      </w:pPr>
    </w:p>
    <w:p w14:paraId="17D66CAF" w14:textId="0628573E" w:rsidR="002A61C8" w:rsidRDefault="00383327" w:rsidP="4708566A">
      <w:pPr>
        <w:tabs>
          <w:tab w:val="num" w:pos="720"/>
        </w:tabs>
        <w:rPr>
          <w:rFonts w:ascii="Arial" w:hAnsi="Arial"/>
          <w:sz w:val="20"/>
          <w:szCs w:val="20"/>
        </w:rPr>
      </w:pPr>
      <w:r w:rsidRPr="4708566A">
        <w:rPr>
          <w:rFonts w:ascii="Arial" w:hAnsi="Arial"/>
          <w:sz w:val="20"/>
          <w:szCs w:val="20"/>
        </w:rPr>
        <w:t>F</w:t>
      </w:r>
      <w:r w:rsidR="00F95654" w:rsidRPr="4708566A">
        <w:rPr>
          <w:rFonts w:ascii="Arial" w:hAnsi="Arial"/>
          <w:sz w:val="20"/>
          <w:szCs w:val="20"/>
        </w:rPr>
        <w:t xml:space="preserve">or any business in a precinct </w:t>
      </w:r>
      <w:r w:rsidR="003C0C9E" w:rsidRPr="4708566A">
        <w:rPr>
          <w:rFonts w:ascii="Arial" w:hAnsi="Arial"/>
          <w:sz w:val="20"/>
          <w:szCs w:val="20"/>
        </w:rPr>
        <w:t>with reduced</w:t>
      </w:r>
      <w:r w:rsidR="002A61C8" w:rsidRPr="4708566A">
        <w:rPr>
          <w:rFonts w:ascii="Arial" w:hAnsi="Arial"/>
          <w:sz w:val="20"/>
          <w:szCs w:val="20"/>
        </w:rPr>
        <w:t xml:space="preserve"> retail rents or high </w:t>
      </w:r>
      <w:r w:rsidRPr="4708566A">
        <w:rPr>
          <w:rFonts w:ascii="Arial" w:hAnsi="Arial"/>
          <w:sz w:val="20"/>
          <w:szCs w:val="20"/>
        </w:rPr>
        <w:t>vacancies, the cheapest Tier 1 rate would be applied</w:t>
      </w:r>
      <w:r w:rsidR="0036178F" w:rsidRPr="4708566A">
        <w:rPr>
          <w:rFonts w:ascii="Arial" w:hAnsi="Arial"/>
          <w:sz w:val="20"/>
          <w:szCs w:val="20"/>
        </w:rPr>
        <w:t>.</w:t>
      </w:r>
    </w:p>
    <w:p w14:paraId="322334B2" w14:textId="6C6A629E" w:rsidR="4708566A" w:rsidRDefault="4708566A" w:rsidP="4708566A">
      <w:pPr>
        <w:tabs>
          <w:tab w:val="num" w:pos="720"/>
        </w:tabs>
        <w:rPr>
          <w:rFonts w:ascii="Arial" w:hAnsi="Arial"/>
          <w:sz w:val="20"/>
          <w:szCs w:val="20"/>
        </w:rPr>
      </w:pPr>
    </w:p>
    <w:p w14:paraId="4271C3BA" w14:textId="14D1F93D" w:rsidR="4708566A" w:rsidRDefault="4708566A" w:rsidP="4708566A">
      <w:pPr>
        <w:tabs>
          <w:tab w:val="num" w:pos="720"/>
        </w:tabs>
        <w:rPr>
          <w:rFonts w:ascii="Arial" w:hAnsi="Arial"/>
          <w:sz w:val="20"/>
          <w:szCs w:val="20"/>
        </w:rPr>
      </w:pPr>
      <w:r w:rsidRPr="4708566A">
        <w:rPr>
          <w:rFonts w:ascii="Arial" w:hAnsi="Arial"/>
          <w:sz w:val="20"/>
          <w:szCs w:val="20"/>
        </w:rPr>
        <w:t>Business parklet fees would be introduced from January 2023 and pro-rated.</w:t>
      </w:r>
    </w:p>
    <w:p w14:paraId="0291D045" w14:textId="77777777" w:rsidR="00F95654" w:rsidRDefault="00F95654" w:rsidP="00F95654">
      <w:pPr>
        <w:tabs>
          <w:tab w:val="num" w:pos="720"/>
        </w:tabs>
        <w:rPr>
          <w:rFonts w:ascii="Arial" w:hAnsi="Arial"/>
          <w:sz w:val="20"/>
        </w:rPr>
      </w:pPr>
    </w:p>
    <w:p w14:paraId="25A866D4" w14:textId="04FBB4C9" w:rsidR="00F95654" w:rsidRDefault="00F95654" w:rsidP="00F95654">
      <w:pPr>
        <w:rPr>
          <w:rFonts w:ascii="Arial" w:hAnsi="Arial"/>
          <w:b/>
          <w:bCs/>
          <w:sz w:val="20"/>
        </w:rPr>
      </w:pPr>
      <w:r>
        <w:rPr>
          <w:rFonts w:ascii="Arial" w:hAnsi="Arial"/>
          <w:b/>
          <w:bCs/>
          <w:sz w:val="20"/>
        </w:rPr>
        <w:t>Table 2 – Proposed 10-Tier Business Parklet Fee Structure</w:t>
      </w:r>
    </w:p>
    <w:tbl>
      <w:tblPr>
        <w:tblW w:w="8217" w:type="dxa"/>
        <w:tblInd w:w="-3" w:type="dxa"/>
        <w:tblLook w:val="04A0" w:firstRow="1" w:lastRow="0" w:firstColumn="1" w:lastColumn="0" w:noHBand="0" w:noVBand="1"/>
      </w:tblPr>
      <w:tblGrid>
        <w:gridCol w:w="704"/>
        <w:gridCol w:w="1421"/>
        <w:gridCol w:w="1417"/>
        <w:gridCol w:w="1556"/>
        <w:gridCol w:w="1560"/>
        <w:gridCol w:w="1559"/>
      </w:tblGrid>
      <w:tr w:rsidR="00F95654" w14:paraId="361D8D06" w14:textId="77777777" w:rsidTr="002A61C8">
        <w:trPr>
          <w:trHeight w:val="523"/>
        </w:trPr>
        <w:tc>
          <w:tcPr>
            <w:tcW w:w="704" w:type="dxa"/>
            <w:tcBorders>
              <w:top w:val="single" w:sz="4" w:space="0" w:color="FF0000"/>
              <w:left w:val="single" w:sz="4" w:space="0" w:color="FF0000"/>
              <w:bottom w:val="single" w:sz="4" w:space="0" w:color="FF0000"/>
              <w:right w:val="single" w:sz="4" w:space="0" w:color="FF0000"/>
            </w:tcBorders>
            <w:shd w:val="clear" w:color="auto" w:fill="E2EFDA"/>
            <w:hideMark/>
          </w:tcPr>
          <w:p w14:paraId="487D87B1" w14:textId="77777777" w:rsidR="00F95654" w:rsidRDefault="00F95654">
            <w:pP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 xml:space="preserve">Tier </w:t>
            </w:r>
          </w:p>
        </w:tc>
        <w:tc>
          <w:tcPr>
            <w:tcW w:w="1421" w:type="dxa"/>
            <w:tcBorders>
              <w:top w:val="single" w:sz="4" w:space="0" w:color="FF0000"/>
              <w:left w:val="nil"/>
              <w:bottom w:val="single" w:sz="4" w:space="0" w:color="FF0000"/>
              <w:right w:val="single" w:sz="4" w:space="0" w:color="FF0000"/>
            </w:tcBorders>
            <w:shd w:val="clear" w:color="auto" w:fill="E2EFDA"/>
            <w:hideMark/>
          </w:tcPr>
          <w:p w14:paraId="12CB5F61" w14:textId="77777777" w:rsidR="00F95654" w:rsidRDefault="00F95654">
            <w:pP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From Valuation Rate</w:t>
            </w:r>
          </w:p>
        </w:tc>
        <w:tc>
          <w:tcPr>
            <w:tcW w:w="1417" w:type="dxa"/>
            <w:tcBorders>
              <w:top w:val="single" w:sz="4" w:space="0" w:color="FF0000"/>
              <w:left w:val="nil"/>
              <w:bottom w:val="single" w:sz="4" w:space="0" w:color="FF0000"/>
              <w:right w:val="single" w:sz="4" w:space="0" w:color="FF0000"/>
            </w:tcBorders>
            <w:shd w:val="clear" w:color="auto" w:fill="E2EFDA"/>
            <w:hideMark/>
          </w:tcPr>
          <w:p w14:paraId="1F16CA0E" w14:textId="77777777" w:rsidR="00F95654" w:rsidRDefault="00F95654">
            <w:pP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To Va</w:t>
            </w:r>
            <w:r>
              <w:rPr>
                <w:rFonts w:ascii="Arial" w:eastAsia="Times New Roman" w:hAnsi="Arial" w:cs="Arial"/>
                <w:color w:val="000000"/>
                <w:sz w:val="20"/>
                <w:szCs w:val="20"/>
                <w:lang w:eastAsia="en-AU"/>
              </w:rPr>
              <w:t>l</w:t>
            </w:r>
            <w:r>
              <w:rPr>
                <w:rFonts w:ascii="Arial" w:eastAsia="Times New Roman" w:hAnsi="Arial" w:cs="Arial"/>
                <w:b/>
                <w:bCs/>
                <w:color w:val="000000"/>
                <w:sz w:val="20"/>
                <w:szCs w:val="20"/>
                <w:lang w:eastAsia="en-AU"/>
              </w:rPr>
              <w:t>uation</w:t>
            </w:r>
            <w:r>
              <w:rPr>
                <w:rFonts w:ascii="Arial" w:eastAsia="Times New Roman" w:hAnsi="Arial" w:cs="Arial"/>
                <w:b/>
                <w:bCs/>
                <w:color w:val="000000"/>
                <w:sz w:val="20"/>
                <w:szCs w:val="20"/>
                <w:lang w:eastAsia="en-AU"/>
              </w:rPr>
              <w:br/>
              <w:t>Rate</w:t>
            </w:r>
          </w:p>
        </w:tc>
        <w:tc>
          <w:tcPr>
            <w:tcW w:w="1556" w:type="dxa"/>
            <w:tcBorders>
              <w:top w:val="single" w:sz="4" w:space="0" w:color="FF0000"/>
              <w:left w:val="nil"/>
              <w:bottom w:val="single" w:sz="4" w:space="0" w:color="FF0000"/>
              <w:right w:val="single" w:sz="4" w:space="0" w:color="FF0000"/>
            </w:tcBorders>
            <w:shd w:val="clear" w:color="auto" w:fill="E2EFDA"/>
            <w:hideMark/>
          </w:tcPr>
          <w:p w14:paraId="48524F4E" w14:textId="77777777" w:rsidR="00F95654" w:rsidRDefault="00F95654">
            <w:pP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Mid-point</w:t>
            </w:r>
          </w:p>
        </w:tc>
        <w:tc>
          <w:tcPr>
            <w:tcW w:w="1560" w:type="dxa"/>
            <w:tcBorders>
              <w:top w:val="single" w:sz="4" w:space="0" w:color="FF0000"/>
              <w:left w:val="nil"/>
              <w:bottom w:val="single" w:sz="4" w:space="0" w:color="FF0000"/>
              <w:right w:val="single" w:sz="4" w:space="0" w:color="FF0000"/>
            </w:tcBorders>
            <w:shd w:val="clear" w:color="auto" w:fill="E2EFDA"/>
            <w:hideMark/>
          </w:tcPr>
          <w:p w14:paraId="18B94379" w14:textId="77777777" w:rsidR="00F95654" w:rsidRDefault="00F95654">
            <w:pP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 xml:space="preserve">50% annual rate per parking bay </w:t>
            </w:r>
          </w:p>
        </w:tc>
        <w:tc>
          <w:tcPr>
            <w:tcW w:w="1559" w:type="dxa"/>
            <w:tcBorders>
              <w:top w:val="single" w:sz="4" w:space="0" w:color="FF0000"/>
              <w:left w:val="nil"/>
              <w:bottom w:val="single" w:sz="4" w:space="0" w:color="FF0000"/>
              <w:right w:val="single" w:sz="4" w:space="0" w:color="FF0000"/>
            </w:tcBorders>
            <w:shd w:val="clear" w:color="auto" w:fill="E2EFDA"/>
            <w:hideMark/>
          </w:tcPr>
          <w:p w14:paraId="165E2E29" w14:textId="77777777" w:rsidR="00F95654" w:rsidRDefault="00F95654">
            <w:pP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 xml:space="preserve">70% seasonal rate per parking bay </w:t>
            </w:r>
          </w:p>
        </w:tc>
      </w:tr>
      <w:tr w:rsidR="00F95654" w14:paraId="0F4AA411" w14:textId="77777777" w:rsidTr="002A61C8">
        <w:trPr>
          <w:trHeight w:val="166"/>
        </w:trPr>
        <w:tc>
          <w:tcPr>
            <w:tcW w:w="704" w:type="dxa"/>
            <w:tcBorders>
              <w:top w:val="nil"/>
              <w:left w:val="single" w:sz="4" w:space="0" w:color="FF0000"/>
              <w:bottom w:val="single" w:sz="4" w:space="0" w:color="FF0000"/>
              <w:right w:val="single" w:sz="4" w:space="0" w:color="FF0000"/>
            </w:tcBorders>
            <w:shd w:val="clear" w:color="auto" w:fill="FFFFFF"/>
            <w:noWrap/>
            <w:vAlign w:val="bottom"/>
            <w:hideMark/>
          </w:tcPr>
          <w:p w14:paraId="26B7E683" w14:textId="77777777" w:rsidR="00F95654" w:rsidRDefault="00F95654">
            <w:pPr>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1</w:t>
            </w:r>
          </w:p>
        </w:tc>
        <w:tc>
          <w:tcPr>
            <w:tcW w:w="1421" w:type="dxa"/>
            <w:tcBorders>
              <w:top w:val="nil"/>
              <w:left w:val="nil"/>
              <w:bottom w:val="single" w:sz="4" w:space="0" w:color="FF0000"/>
              <w:right w:val="single" w:sz="4" w:space="0" w:color="FF0000"/>
            </w:tcBorders>
            <w:shd w:val="clear" w:color="auto" w:fill="FFFFFF"/>
            <w:noWrap/>
            <w:vAlign w:val="bottom"/>
            <w:hideMark/>
          </w:tcPr>
          <w:p w14:paraId="7813066E"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$275</w:t>
            </w:r>
          </w:p>
        </w:tc>
        <w:tc>
          <w:tcPr>
            <w:tcW w:w="1417" w:type="dxa"/>
            <w:tcBorders>
              <w:top w:val="nil"/>
              <w:left w:val="nil"/>
              <w:bottom w:val="single" w:sz="4" w:space="0" w:color="FF0000"/>
              <w:right w:val="single" w:sz="4" w:space="0" w:color="FF0000"/>
            </w:tcBorders>
            <w:shd w:val="clear" w:color="auto" w:fill="FFFFFF"/>
            <w:noWrap/>
            <w:vAlign w:val="bottom"/>
            <w:hideMark/>
          </w:tcPr>
          <w:p w14:paraId="0CEA97CF"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$332</w:t>
            </w:r>
          </w:p>
        </w:tc>
        <w:tc>
          <w:tcPr>
            <w:tcW w:w="1556" w:type="dxa"/>
            <w:tcBorders>
              <w:top w:val="nil"/>
              <w:left w:val="nil"/>
              <w:bottom w:val="single" w:sz="4" w:space="0" w:color="FF0000"/>
              <w:right w:val="single" w:sz="4" w:space="0" w:color="FF0000"/>
            </w:tcBorders>
            <w:shd w:val="clear" w:color="auto" w:fill="FFFFFF"/>
            <w:noWrap/>
            <w:vAlign w:val="bottom"/>
            <w:hideMark/>
          </w:tcPr>
          <w:p w14:paraId="1ECE9EC4"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$303.50</w:t>
            </w:r>
          </w:p>
        </w:tc>
        <w:tc>
          <w:tcPr>
            <w:tcW w:w="1560" w:type="dxa"/>
            <w:tcBorders>
              <w:top w:val="nil"/>
              <w:left w:val="nil"/>
              <w:bottom w:val="single" w:sz="4" w:space="0" w:color="FF0000"/>
              <w:right w:val="single" w:sz="4" w:space="0" w:color="FF0000"/>
            </w:tcBorders>
            <w:shd w:val="clear" w:color="auto" w:fill="FFFFFF"/>
            <w:noWrap/>
            <w:vAlign w:val="bottom"/>
            <w:hideMark/>
          </w:tcPr>
          <w:p w14:paraId="77AD9260"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$1,517.50</w:t>
            </w:r>
          </w:p>
        </w:tc>
        <w:tc>
          <w:tcPr>
            <w:tcW w:w="1559" w:type="dxa"/>
            <w:tcBorders>
              <w:top w:val="nil"/>
              <w:left w:val="nil"/>
              <w:bottom w:val="single" w:sz="4" w:space="0" w:color="FF0000"/>
              <w:right w:val="single" w:sz="4" w:space="0" w:color="FF0000"/>
            </w:tcBorders>
            <w:shd w:val="clear" w:color="auto" w:fill="FFFFFF"/>
            <w:noWrap/>
            <w:vAlign w:val="bottom"/>
            <w:hideMark/>
          </w:tcPr>
          <w:p w14:paraId="58D57086"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$1,062.25</w:t>
            </w:r>
          </w:p>
        </w:tc>
      </w:tr>
      <w:tr w:rsidR="00F95654" w14:paraId="640235A0" w14:textId="77777777" w:rsidTr="002A61C8">
        <w:trPr>
          <w:trHeight w:val="197"/>
        </w:trPr>
        <w:tc>
          <w:tcPr>
            <w:tcW w:w="704" w:type="dxa"/>
            <w:tcBorders>
              <w:top w:val="nil"/>
              <w:left w:val="single" w:sz="4" w:space="0" w:color="FF0000"/>
              <w:bottom w:val="single" w:sz="4" w:space="0" w:color="FF0000"/>
              <w:right w:val="single" w:sz="4" w:space="0" w:color="FF0000"/>
            </w:tcBorders>
            <w:shd w:val="clear" w:color="auto" w:fill="F2F2F2"/>
            <w:noWrap/>
            <w:vAlign w:val="bottom"/>
            <w:hideMark/>
          </w:tcPr>
          <w:p w14:paraId="3D84DC6B" w14:textId="77777777" w:rsidR="00F95654" w:rsidRDefault="00F95654">
            <w:pPr>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2</w:t>
            </w:r>
          </w:p>
        </w:tc>
        <w:tc>
          <w:tcPr>
            <w:tcW w:w="1421" w:type="dxa"/>
            <w:tcBorders>
              <w:top w:val="nil"/>
              <w:left w:val="nil"/>
              <w:bottom w:val="single" w:sz="4" w:space="0" w:color="FF0000"/>
              <w:right w:val="single" w:sz="4" w:space="0" w:color="FF0000"/>
            </w:tcBorders>
            <w:shd w:val="clear" w:color="auto" w:fill="F2F2F2"/>
            <w:noWrap/>
            <w:vAlign w:val="bottom"/>
            <w:hideMark/>
          </w:tcPr>
          <w:p w14:paraId="2D08D036"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$333</w:t>
            </w:r>
          </w:p>
        </w:tc>
        <w:tc>
          <w:tcPr>
            <w:tcW w:w="1417" w:type="dxa"/>
            <w:tcBorders>
              <w:top w:val="nil"/>
              <w:left w:val="nil"/>
              <w:bottom w:val="single" w:sz="4" w:space="0" w:color="FF0000"/>
              <w:right w:val="single" w:sz="4" w:space="0" w:color="FF0000"/>
            </w:tcBorders>
            <w:shd w:val="clear" w:color="auto" w:fill="F2F2F2"/>
            <w:noWrap/>
            <w:vAlign w:val="bottom"/>
            <w:hideMark/>
          </w:tcPr>
          <w:p w14:paraId="46286B34"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$390</w:t>
            </w:r>
          </w:p>
        </w:tc>
        <w:tc>
          <w:tcPr>
            <w:tcW w:w="1556" w:type="dxa"/>
            <w:tcBorders>
              <w:top w:val="nil"/>
              <w:left w:val="nil"/>
              <w:bottom w:val="single" w:sz="4" w:space="0" w:color="FF0000"/>
              <w:right w:val="single" w:sz="4" w:space="0" w:color="FF0000"/>
            </w:tcBorders>
            <w:shd w:val="clear" w:color="auto" w:fill="F2F2F2"/>
            <w:noWrap/>
            <w:vAlign w:val="bottom"/>
            <w:hideMark/>
          </w:tcPr>
          <w:p w14:paraId="17A57D97"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$361.50</w:t>
            </w:r>
          </w:p>
        </w:tc>
        <w:tc>
          <w:tcPr>
            <w:tcW w:w="1560" w:type="dxa"/>
            <w:tcBorders>
              <w:top w:val="nil"/>
              <w:left w:val="nil"/>
              <w:bottom w:val="single" w:sz="4" w:space="0" w:color="FF0000"/>
              <w:right w:val="single" w:sz="4" w:space="0" w:color="FF0000"/>
            </w:tcBorders>
            <w:shd w:val="clear" w:color="auto" w:fill="F2F2F2"/>
            <w:noWrap/>
            <w:vAlign w:val="bottom"/>
            <w:hideMark/>
          </w:tcPr>
          <w:p w14:paraId="42CFB936"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$1,807.50</w:t>
            </w:r>
          </w:p>
        </w:tc>
        <w:tc>
          <w:tcPr>
            <w:tcW w:w="1559" w:type="dxa"/>
            <w:tcBorders>
              <w:top w:val="nil"/>
              <w:left w:val="nil"/>
              <w:bottom w:val="single" w:sz="4" w:space="0" w:color="FF0000"/>
              <w:right w:val="single" w:sz="4" w:space="0" w:color="FF0000"/>
            </w:tcBorders>
            <w:shd w:val="clear" w:color="auto" w:fill="F2F2F2"/>
            <w:noWrap/>
            <w:vAlign w:val="bottom"/>
            <w:hideMark/>
          </w:tcPr>
          <w:p w14:paraId="36011EAA"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$1,265.25</w:t>
            </w:r>
          </w:p>
        </w:tc>
      </w:tr>
      <w:tr w:rsidR="00F95654" w14:paraId="5DB324D0" w14:textId="77777777" w:rsidTr="002A61C8">
        <w:trPr>
          <w:trHeight w:val="230"/>
        </w:trPr>
        <w:tc>
          <w:tcPr>
            <w:tcW w:w="704" w:type="dxa"/>
            <w:tcBorders>
              <w:top w:val="nil"/>
              <w:left w:val="single" w:sz="4" w:space="0" w:color="FF0000"/>
              <w:bottom w:val="single" w:sz="4" w:space="0" w:color="FF0000"/>
              <w:right w:val="single" w:sz="4" w:space="0" w:color="FF0000"/>
            </w:tcBorders>
            <w:shd w:val="clear" w:color="auto" w:fill="FFFFFF"/>
            <w:hideMark/>
          </w:tcPr>
          <w:p w14:paraId="43D01B1C" w14:textId="77777777" w:rsidR="00F95654" w:rsidRDefault="00F95654">
            <w:pPr>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3</w:t>
            </w:r>
          </w:p>
        </w:tc>
        <w:tc>
          <w:tcPr>
            <w:tcW w:w="1421" w:type="dxa"/>
            <w:tcBorders>
              <w:top w:val="nil"/>
              <w:left w:val="nil"/>
              <w:bottom w:val="single" w:sz="4" w:space="0" w:color="FF0000"/>
              <w:right w:val="single" w:sz="4" w:space="0" w:color="FF0000"/>
            </w:tcBorders>
            <w:shd w:val="clear" w:color="auto" w:fill="FFFFFF"/>
            <w:noWrap/>
            <w:vAlign w:val="bottom"/>
            <w:hideMark/>
          </w:tcPr>
          <w:p w14:paraId="21ACCECD"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$391</w:t>
            </w:r>
          </w:p>
        </w:tc>
        <w:tc>
          <w:tcPr>
            <w:tcW w:w="1417" w:type="dxa"/>
            <w:tcBorders>
              <w:top w:val="nil"/>
              <w:left w:val="nil"/>
              <w:bottom w:val="single" w:sz="4" w:space="0" w:color="FF0000"/>
              <w:right w:val="single" w:sz="4" w:space="0" w:color="FF0000"/>
            </w:tcBorders>
            <w:shd w:val="clear" w:color="auto" w:fill="FFFFFF"/>
            <w:noWrap/>
            <w:vAlign w:val="bottom"/>
            <w:hideMark/>
          </w:tcPr>
          <w:p w14:paraId="7D8648D7"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$448</w:t>
            </w:r>
          </w:p>
        </w:tc>
        <w:tc>
          <w:tcPr>
            <w:tcW w:w="1556" w:type="dxa"/>
            <w:tcBorders>
              <w:top w:val="nil"/>
              <w:left w:val="nil"/>
              <w:bottom w:val="single" w:sz="4" w:space="0" w:color="FF0000"/>
              <w:right w:val="single" w:sz="4" w:space="0" w:color="FF0000"/>
            </w:tcBorders>
            <w:shd w:val="clear" w:color="auto" w:fill="FFFFFF"/>
            <w:noWrap/>
            <w:vAlign w:val="bottom"/>
            <w:hideMark/>
          </w:tcPr>
          <w:p w14:paraId="23A54D0E"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$419.50</w:t>
            </w:r>
          </w:p>
        </w:tc>
        <w:tc>
          <w:tcPr>
            <w:tcW w:w="1560" w:type="dxa"/>
            <w:tcBorders>
              <w:top w:val="nil"/>
              <w:left w:val="nil"/>
              <w:bottom w:val="single" w:sz="4" w:space="0" w:color="FF0000"/>
              <w:right w:val="single" w:sz="4" w:space="0" w:color="FF0000"/>
            </w:tcBorders>
            <w:shd w:val="clear" w:color="auto" w:fill="FFFFFF"/>
            <w:noWrap/>
            <w:vAlign w:val="bottom"/>
            <w:hideMark/>
          </w:tcPr>
          <w:p w14:paraId="1789C9C3"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$2,097.50</w:t>
            </w:r>
          </w:p>
        </w:tc>
        <w:tc>
          <w:tcPr>
            <w:tcW w:w="1559" w:type="dxa"/>
            <w:tcBorders>
              <w:top w:val="nil"/>
              <w:left w:val="nil"/>
              <w:bottom w:val="single" w:sz="4" w:space="0" w:color="FF0000"/>
              <w:right w:val="single" w:sz="4" w:space="0" w:color="FF0000"/>
            </w:tcBorders>
            <w:shd w:val="clear" w:color="auto" w:fill="FFFFFF"/>
            <w:noWrap/>
            <w:vAlign w:val="bottom"/>
            <w:hideMark/>
          </w:tcPr>
          <w:p w14:paraId="1C0DEFBF"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$1,468.25</w:t>
            </w:r>
          </w:p>
        </w:tc>
      </w:tr>
      <w:tr w:rsidR="00F95654" w14:paraId="0E687EE9" w14:textId="77777777" w:rsidTr="002A61C8">
        <w:trPr>
          <w:trHeight w:val="261"/>
        </w:trPr>
        <w:tc>
          <w:tcPr>
            <w:tcW w:w="704" w:type="dxa"/>
            <w:tcBorders>
              <w:top w:val="nil"/>
              <w:left w:val="single" w:sz="4" w:space="0" w:color="FF0000"/>
              <w:bottom w:val="single" w:sz="4" w:space="0" w:color="FF0000"/>
              <w:right w:val="single" w:sz="4" w:space="0" w:color="FF0000"/>
            </w:tcBorders>
            <w:shd w:val="clear" w:color="auto" w:fill="F2F2F2"/>
            <w:noWrap/>
            <w:vAlign w:val="bottom"/>
            <w:hideMark/>
          </w:tcPr>
          <w:p w14:paraId="3C9822C5" w14:textId="77777777" w:rsidR="00F95654" w:rsidRDefault="00F95654">
            <w:pPr>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4</w:t>
            </w:r>
          </w:p>
        </w:tc>
        <w:tc>
          <w:tcPr>
            <w:tcW w:w="1421" w:type="dxa"/>
            <w:tcBorders>
              <w:top w:val="nil"/>
              <w:left w:val="nil"/>
              <w:bottom w:val="single" w:sz="4" w:space="0" w:color="FF0000"/>
              <w:right w:val="single" w:sz="4" w:space="0" w:color="FF0000"/>
            </w:tcBorders>
            <w:shd w:val="clear" w:color="auto" w:fill="F2F2F2"/>
            <w:noWrap/>
            <w:vAlign w:val="bottom"/>
            <w:hideMark/>
          </w:tcPr>
          <w:p w14:paraId="337AA5ED"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$449</w:t>
            </w:r>
          </w:p>
        </w:tc>
        <w:tc>
          <w:tcPr>
            <w:tcW w:w="1417" w:type="dxa"/>
            <w:tcBorders>
              <w:top w:val="nil"/>
              <w:left w:val="nil"/>
              <w:bottom w:val="single" w:sz="4" w:space="0" w:color="FF0000"/>
              <w:right w:val="single" w:sz="4" w:space="0" w:color="FF0000"/>
            </w:tcBorders>
            <w:shd w:val="clear" w:color="auto" w:fill="F2F2F2"/>
            <w:noWrap/>
            <w:vAlign w:val="bottom"/>
            <w:hideMark/>
          </w:tcPr>
          <w:p w14:paraId="033C3E15"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$506</w:t>
            </w:r>
          </w:p>
        </w:tc>
        <w:tc>
          <w:tcPr>
            <w:tcW w:w="1556" w:type="dxa"/>
            <w:tcBorders>
              <w:top w:val="nil"/>
              <w:left w:val="nil"/>
              <w:bottom w:val="single" w:sz="4" w:space="0" w:color="FF0000"/>
              <w:right w:val="single" w:sz="4" w:space="0" w:color="FF0000"/>
            </w:tcBorders>
            <w:shd w:val="clear" w:color="auto" w:fill="F2F2F2"/>
            <w:noWrap/>
            <w:vAlign w:val="bottom"/>
            <w:hideMark/>
          </w:tcPr>
          <w:p w14:paraId="39265BF5"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$477.50</w:t>
            </w:r>
          </w:p>
        </w:tc>
        <w:tc>
          <w:tcPr>
            <w:tcW w:w="1560" w:type="dxa"/>
            <w:tcBorders>
              <w:top w:val="nil"/>
              <w:left w:val="nil"/>
              <w:bottom w:val="single" w:sz="4" w:space="0" w:color="FF0000"/>
              <w:right w:val="single" w:sz="4" w:space="0" w:color="FF0000"/>
            </w:tcBorders>
            <w:shd w:val="clear" w:color="auto" w:fill="F2F2F2"/>
            <w:noWrap/>
            <w:vAlign w:val="bottom"/>
            <w:hideMark/>
          </w:tcPr>
          <w:p w14:paraId="0FA2A5EB"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$2,387.50</w:t>
            </w:r>
          </w:p>
        </w:tc>
        <w:tc>
          <w:tcPr>
            <w:tcW w:w="1559" w:type="dxa"/>
            <w:tcBorders>
              <w:top w:val="nil"/>
              <w:left w:val="nil"/>
              <w:bottom w:val="single" w:sz="4" w:space="0" w:color="FF0000"/>
              <w:right w:val="single" w:sz="4" w:space="0" w:color="FF0000"/>
            </w:tcBorders>
            <w:shd w:val="clear" w:color="auto" w:fill="F2F2F2"/>
            <w:noWrap/>
            <w:vAlign w:val="bottom"/>
            <w:hideMark/>
          </w:tcPr>
          <w:p w14:paraId="6DC3DFAA"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$1,671.25</w:t>
            </w:r>
          </w:p>
        </w:tc>
      </w:tr>
      <w:tr w:rsidR="00F95654" w14:paraId="42BEA7BE" w14:textId="77777777" w:rsidTr="002A61C8">
        <w:trPr>
          <w:trHeight w:val="124"/>
        </w:trPr>
        <w:tc>
          <w:tcPr>
            <w:tcW w:w="704" w:type="dxa"/>
            <w:tcBorders>
              <w:top w:val="nil"/>
              <w:left w:val="single" w:sz="4" w:space="0" w:color="FF0000"/>
              <w:bottom w:val="single" w:sz="4" w:space="0" w:color="FF0000"/>
              <w:right w:val="single" w:sz="4" w:space="0" w:color="FF0000"/>
            </w:tcBorders>
            <w:shd w:val="clear" w:color="auto" w:fill="FFFFFF"/>
            <w:noWrap/>
            <w:vAlign w:val="bottom"/>
            <w:hideMark/>
          </w:tcPr>
          <w:p w14:paraId="59D977C0" w14:textId="77777777" w:rsidR="00F95654" w:rsidRDefault="00F95654">
            <w:pPr>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5</w:t>
            </w:r>
          </w:p>
        </w:tc>
        <w:tc>
          <w:tcPr>
            <w:tcW w:w="1421" w:type="dxa"/>
            <w:tcBorders>
              <w:top w:val="nil"/>
              <w:left w:val="nil"/>
              <w:bottom w:val="single" w:sz="4" w:space="0" w:color="FF0000"/>
              <w:right w:val="single" w:sz="4" w:space="0" w:color="FF0000"/>
            </w:tcBorders>
            <w:shd w:val="clear" w:color="auto" w:fill="FFFFFF"/>
            <w:noWrap/>
            <w:vAlign w:val="bottom"/>
            <w:hideMark/>
          </w:tcPr>
          <w:p w14:paraId="06D3E90E"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$507</w:t>
            </w:r>
          </w:p>
        </w:tc>
        <w:tc>
          <w:tcPr>
            <w:tcW w:w="1417" w:type="dxa"/>
            <w:tcBorders>
              <w:top w:val="nil"/>
              <w:left w:val="nil"/>
              <w:bottom w:val="single" w:sz="4" w:space="0" w:color="FF0000"/>
              <w:right w:val="single" w:sz="4" w:space="0" w:color="FF0000"/>
            </w:tcBorders>
            <w:shd w:val="clear" w:color="auto" w:fill="FFFFFF"/>
            <w:noWrap/>
            <w:vAlign w:val="bottom"/>
            <w:hideMark/>
          </w:tcPr>
          <w:p w14:paraId="0AA06B92"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$564</w:t>
            </w:r>
          </w:p>
        </w:tc>
        <w:tc>
          <w:tcPr>
            <w:tcW w:w="1556" w:type="dxa"/>
            <w:tcBorders>
              <w:top w:val="nil"/>
              <w:left w:val="nil"/>
              <w:bottom w:val="single" w:sz="4" w:space="0" w:color="FF0000"/>
              <w:right w:val="single" w:sz="4" w:space="0" w:color="FF0000"/>
            </w:tcBorders>
            <w:shd w:val="clear" w:color="auto" w:fill="FFFFFF"/>
            <w:noWrap/>
            <w:vAlign w:val="bottom"/>
            <w:hideMark/>
          </w:tcPr>
          <w:p w14:paraId="474B7D55"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$535.50</w:t>
            </w:r>
          </w:p>
        </w:tc>
        <w:tc>
          <w:tcPr>
            <w:tcW w:w="1560" w:type="dxa"/>
            <w:tcBorders>
              <w:top w:val="nil"/>
              <w:left w:val="nil"/>
              <w:bottom w:val="single" w:sz="4" w:space="0" w:color="FF0000"/>
              <w:right w:val="single" w:sz="4" w:space="0" w:color="FF0000"/>
            </w:tcBorders>
            <w:shd w:val="clear" w:color="auto" w:fill="FFFFFF"/>
            <w:noWrap/>
            <w:vAlign w:val="bottom"/>
            <w:hideMark/>
          </w:tcPr>
          <w:p w14:paraId="3613EFAF"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$2,677.50</w:t>
            </w:r>
          </w:p>
        </w:tc>
        <w:tc>
          <w:tcPr>
            <w:tcW w:w="1559" w:type="dxa"/>
            <w:tcBorders>
              <w:top w:val="nil"/>
              <w:left w:val="nil"/>
              <w:bottom w:val="single" w:sz="4" w:space="0" w:color="FF0000"/>
              <w:right w:val="single" w:sz="4" w:space="0" w:color="FF0000"/>
            </w:tcBorders>
            <w:shd w:val="clear" w:color="auto" w:fill="FFFFFF"/>
            <w:noWrap/>
            <w:vAlign w:val="bottom"/>
            <w:hideMark/>
          </w:tcPr>
          <w:p w14:paraId="35DEE331"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$1,874.25</w:t>
            </w:r>
          </w:p>
        </w:tc>
      </w:tr>
      <w:tr w:rsidR="00F95654" w14:paraId="3AE283C8" w14:textId="77777777" w:rsidTr="002A61C8">
        <w:trPr>
          <w:trHeight w:val="198"/>
        </w:trPr>
        <w:tc>
          <w:tcPr>
            <w:tcW w:w="704" w:type="dxa"/>
            <w:tcBorders>
              <w:top w:val="nil"/>
              <w:left w:val="single" w:sz="4" w:space="0" w:color="FF0000"/>
              <w:bottom w:val="single" w:sz="4" w:space="0" w:color="FF0000"/>
              <w:right w:val="single" w:sz="4" w:space="0" w:color="FF0000"/>
            </w:tcBorders>
            <w:shd w:val="clear" w:color="auto" w:fill="F2F2F2"/>
            <w:noWrap/>
            <w:vAlign w:val="bottom"/>
            <w:hideMark/>
          </w:tcPr>
          <w:p w14:paraId="2735EECE" w14:textId="77777777" w:rsidR="00F95654" w:rsidRDefault="00F95654">
            <w:pPr>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6</w:t>
            </w:r>
          </w:p>
        </w:tc>
        <w:tc>
          <w:tcPr>
            <w:tcW w:w="1421" w:type="dxa"/>
            <w:tcBorders>
              <w:top w:val="nil"/>
              <w:left w:val="nil"/>
              <w:bottom w:val="single" w:sz="4" w:space="0" w:color="FF0000"/>
              <w:right w:val="single" w:sz="4" w:space="0" w:color="FF0000"/>
            </w:tcBorders>
            <w:shd w:val="clear" w:color="auto" w:fill="F2F2F2"/>
            <w:noWrap/>
            <w:vAlign w:val="bottom"/>
            <w:hideMark/>
          </w:tcPr>
          <w:p w14:paraId="5B1712F3"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$565</w:t>
            </w:r>
          </w:p>
        </w:tc>
        <w:tc>
          <w:tcPr>
            <w:tcW w:w="1417" w:type="dxa"/>
            <w:tcBorders>
              <w:top w:val="nil"/>
              <w:left w:val="nil"/>
              <w:bottom w:val="single" w:sz="4" w:space="0" w:color="FF0000"/>
              <w:right w:val="single" w:sz="4" w:space="0" w:color="FF0000"/>
            </w:tcBorders>
            <w:shd w:val="clear" w:color="auto" w:fill="F2F2F2"/>
            <w:noWrap/>
            <w:vAlign w:val="bottom"/>
            <w:hideMark/>
          </w:tcPr>
          <w:p w14:paraId="1F3EE45F"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$622</w:t>
            </w:r>
          </w:p>
        </w:tc>
        <w:tc>
          <w:tcPr>
            <w:tcW w:w="1556" w:type="dxa"/>
            <w:tcBorders>
              <w:top w:val="nil"/>
              <w:left w:val="nil"/>
              <w:bottom w:val="single" w:sz="4" w:space="0" w:color="FF0000"/>
              <w:right w:val="single" w:sz="4" w:space="0" w:color="FF0000"/>
            </w:tcBorders>
            <w:shd w:val="clear" w:color="auto" w:fill="F2F2F2"/>
            <w:noWrap/>
            <w:vAlign w:val="bottom"/>
            <w:hideMark/>
          </w:tcPr>
          <w:p w14:paraId="4ACBE029"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$593.50</w:t>
            </w:r>
          </w:p>
        </w:tc>
        <w:tc>
          <w:tcPr>
            <w:tcW w:w="1560" w:type="dxa"/>
            <w:tcBorders>
              <w:top w:val="nil"/>
              <w:left w:val="nil"/>
              <w:bottom w:val="single" w:sz="4" w:space="0" w:color="FF0000"/>
              <w:right w:val="single" w:sz="4" w:space="0" w:color="FF0000"/>
            </w:tcBorders>
            <w:shd w:val="clear" w:color="auto" w:fill="F2F2F2"/>
            <w:noWrap/>
            <w:vAlign w:val="bottom"/>
            <w:hideMark/>
          </w:tcPr>
          <w:p w14:paraId="0A6361F6"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$2,967.50</w:t>
            </w:r>
          </w:p>
        </w:tc>
        <w:tc>
          <w:tcPr>
            <w:tcW w:w="1559" w:type="dxa"/>
            <w:tcBorders>
              <w:top w:val="nil"/>
              <w:left w:val="nil"/>
              <w:bottom w:val="single" w:sz="4" w:space="0" w:color="FF0000"/>
              <w:right w:val="single" w:sz="4" w:space="0" w:color="FF0000"/>
            </w:tcBorders>
            <w:shd w:val="clear" w:color="auto" w:fill="F2F2F2"/>
            <w:noWrap/>
            <w:vAlign w:val="bottom"/>
            <w:hideMark/>
          </w:tcPr>
          <w:p w14:paraId="21B1BE69"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$2,077.25</w:t>
            </w:r>
          </w:p>
        </w:tc>
      </w:tr>
      <w:tr w:rsidR="00F95654" w14:paraId="41E28F11" w14:textId="77777777" w:rsidTr="002A61C8">
        <w:trPr>
          <w:trHeight w:val="145"/>
        </w:trPr>
        <w:tc>
          <w:tcPr>
            <w:tcW w:w="704" w:type="dxa"/>
            <w:tcBorders>
              <w:top w:val="nil"/>
              <w:left w:val="single" w:sz="4" w:space="0" w:color="FF0000"/>
              <w:bottom w:val="single" w:sz="4" w:space="0" w:color="FF0000"/>
              <w:right w:val="single" w:sz="4" w:space="0" w:color="FF0000"/>
            </w:tcBorders>
            <w:shd w:val="clear" w:color="auto" w:fill="FFFFFF"/>
            <w:noWrap/>
            <w:vAlign w:val="bottom"/>
            <w:hideMark/>
          </w:tcPr>
          <w:p w14:paraId="1EE66DFE" w14:textId="77777777" w:rsidR="00F95654" w:rsidRDefault="00F95654">
            <w:pPr>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7</w:t>
            </w:r>
          </w:p>
        </w:tc>
        <w:tc>
          <w:tcPr>
            <w:tcW w:w="1421" w:type="dxa"/>
            <w:tcBorders>
              <w:top w:val="nil"/>
              <w:left w:val="nil"/>
              <w:bottom w:val="single" w:sz="4" w:space="0" w:color="FF0000"/>
              <w:right w:val="single" w:sz="4" w:space="0" w:color="FF0000"/>
            </w:tcBorders>
            <w:shd w:val="clear" w:color="auto" w:fill="FFFFFF"/>
            <w:noWrap/>
            <w:vAlign w:val="bottom"/>
            <w:hideMark/>
          </w:tcPr>
          <w:p w14:paraId="0916770D"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$623</w:t>
            </w:r>
          </w:p>
        </w:tc>
        <w:tc>
          <w:tcPr>
            <w:tcW w:w="1417" w:type="dxa"/>
            <w:tcBorders>
              <w:top w:val="nil"/>
              <w:left w:val="nil"/>
              <w:bottom w:val="single" w:sz="4" w:space="0" w:color="FF0000"/>
              <w:right w:val="single" w:sz="4" w:space="0" w:color="FF0000"/>
            </w:tcBorders>
            <w:shd w:val="clear" w:color="auto" w:fill="FFFFFF"/>
            <w:noWrap/>
            <w:vAlign w:val="bottom"/>
            <w:hideMark/>
          </w:tcPr>
          <w:p w14:paraId="3DE1F607"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$680</w:t>
            </w:r>
          </w:p>
        </w:tc>
        <w:tc>
          <w:tcPr>
            <w:tcW w:w="1556" w:type="dxa"/>
            <w:tcBorders>
              <w:top w:val="nil"/>
              <w:left w:val="nil"/>
              <w:bottom w:val="single" w:sz="4" w:space="0" w:color="FF0000"/>
              <w:right w:val="single" w:sz="4" w:space="0" w:color="FF0000"/>
            </w:tcBorders>
            <w:shd w:val="clear" w:color="auto" w:fill="FFFFFF"/>
            <w:noWrap/>
            <w:vAlign w:val="bottom"/>
            <w:hideMark/>
          </w:tcPr>
          <w:p w14:paraId="20A84F40"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$651.50</w:t>
            </w:r>
          </w:p>
        </w:tc>
        <w:tc>
          <w:tcPr>
            <w:tcW w:w="1560" w:type="dxa"/>
            <w:tcBorders>
              <w:top w:val="nil"/>
              <w:left w:val="nil"/>
              <w:bottom w:val="single" w:sz="4" w:space="0" w:color="FF0000"/>
              <w:right w:val="single" w:sz="4" w:space="0" w:color="FF0000"/>
            </w:tcBorders>
            <w:shd w:val="clear" w:color="auto" w:fill="FFFFFF"/>
            <w:noWrap/>
            <w:vAlign w:val="bottom"/>
            <w:hideMark/>
          </w:tcPr>
          <w:p w14:paraId="73F50285"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$3,257.50</w:t>
            </w:r>
          </w:p>
        </w:tc>
        <w:tc>
          <w:tcPr>
            <w:tcW w:w="1559" w:type="dxa"/>
            <w:tcBorders>
              <w:top w:val="nil"/>
              <w:left w:val="nil"/>
              <w:bottom w:val="single" w:sz="4" w:space="0" w:color="FF0000"/>
              <w:right w:val="single" w:sz="4" w:space="0" w:color="FF0000"/>
            </w:tcBorders>
            <w:shd w:val="clear" w:color="auto" w:fill="FFFFFF"/>
            <w:noWrap/>
            <w:vAlign w:val="bottom"/>
            <w:hideMark/>
          </w:tcPr>
          <w:p w14:paraId="196E91F8"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$2,280.25</w:t>
            </w:r>
          </w:p>
        </w:tc>
      </w:tr>
      <w:tr w:rsidR="00F95654" w14:paraId="5B3B8ACF" w14:textId="77777777" w:rsidTr="002A61C8">
        <w:trPr>
          <w:trHeight w:val="178"/>
        </w:trPr>
        <w:tc>
          <w:tcPr>
            <w:tcW w:w="704" w:type="dxa"/>
            <w:tcBorders>
              <w:top w:val="nil"/>
              <w:left w:val="single" w:sz="4" w:space="0" w:color="FF0000"/>
              <w:bottom w:val="single" w:sz="4" w:space="0" w:color="FF0000"/>
              <w:right w:val="single" w:sz="4" w:space="0" w:color="FF0000"/>
            </w:tcBorders>
            <w:shd w:val="clear" w:color="auto" w:fill="F2F2F2"/>
            <w:noWrap/>
            <w:vAlign w:val="bottom"/>
            <w:hideMark/>
          </w:tcPr>
          <w:p w14:paraId="2B974CF4" w14:textId="77777777" w:rsidR="00F95654" w:rsidRDefault="00F95654">
            <w:pPr>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8</w:t>
            </w:r>
          </w:p>
        </w:tc>
        <w:tc>
          <w:tcPr>
            <w:tcW w:w="1421" w:type="dxa"/>
            <w:tcBorders>
              <w:top w:val="nil"/>
              <w:left w:val="nil"/>
              <w:bottom w:val="single" w:sz="4" w:space="0" w:color="FF0000"/>
              <w:right w:val="single" w:sz="4" w:space="0" w:color="FF0000"/>
            </w:tcBorders>
            <w:shd w:val="clear" w:color="auto" w:fill="F2F2F2"/>
            <w:noWrap/>
            <w:vAlign w:val="bottom"/>
            <w:hideMark/>
          </w:tcPr>
          <w:p w14:paraId="666FF4F2"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$681</w:t>
            </w:r>
          </w:p>
        </w:tc>
        <w:tc>
          <w:tcPr>
            <w:tcW w:w="1417" w:type="dxa"/>
            <w:tcBorders>
              <w:top w:val="nil"/>
              <w:left w:val="nil"/>
              <w:bottom w:val="single" w:sz="4" w:space="0" w:color="FF0000"/>
              <w:right w:val="single" w:sz="4" w:space="0" w:color="FF0000"/>
            </w:tcBorders>
            <w:shd w:val="clear" w:color="auto" w:fill="F2F2F2"/>
            <w:noWrap/>
            <w:vAlign w:val="bottom"/>
            <w:hideMark/>
          </w:tcPr>
          <w:p w14:paraId="7014CC9D"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$738</w:t>
            </w:r>
          </w:p>
        </w:tc>
        <w:tc>
          <w:tcPr>
            <w:tcW w:w="1556" w:type="dxa"/>
            <w:tcBorders>
              <w:top w:val="nil"/>
              <w:left w:val="nil"/>
              <w:bottom w:val="single" w:sz="4" w:space="0" w:color="FF0000"/>
              <w:right w:val="single" w:sz="4" w:space="0" w:color="FF0000"/>
            </w:tcBorders>
            <w:shd w:val="clear" w:color="auto" w:fill="F2F2F2"/>
            <w:noWrap/>
            <w:vAlign w:val="bottom"/>
            <w:hideMark/>
          </w:tcPr>
          <w:p w14:paraId="68FAA808"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$709.50</w:t>
            </w:r>
          </w:p>
        </w:tc>
        <w:tc>
          <w:tcPr>
            <w:tcW w:w="1560" w:type="dxa"/>
            <w:tcBorders>
              <w:top w:val="nil"/>
              <w:left w:val="nil"/>
              <w:bottom w:val="single" w:sz="4" w:space="0" w:color="FF0000"/>
              <w:right w:val="single" w:sz="4" w:space="0" w:color="FF0000"/>
            </w:tcBorders>
            <w:shd w:val="clear" w:color="auto" w:fill="F2F2F2"/>
            <w:noWrap/>
            <w:vAlign w:val="bottom"/>
            <w:hideMark/>
          </w:tcPr>
          <w:p w14:paraId="730D24A1"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$3,547.50</w:t>
            </w:r>
          </w:p>
        </w:tc>
        <w:tc>
          <w:tcPr>
            <w:tcW w:w="1559" w:type="dxa"/>
            <w:tcBorders>
              <w:top w:val="nil"/>
              <w:left w:val="nil"/>
              <w:bottom w:val="single" w:sz="4" w:space="0" w:color="FF0000"/>
              <w:right w:val="single" w:sz="4" w:space="0" w:color="FF0000"/>
            </w:tcBorders>
            <w:shd w:val="clear" w:color="auto" w:fill="F2F2F2"/>
            <w:noWrap/>
            <w:vAlign w:val="bottom"/>
            <w:hideMark/>
          </w:tcPr>
          <w:p w14:paraId="5A4319A4"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$2,483.25</w:t>
            </w:r>
          </w:p>
        </w:tc>
      </w:tr>
      <w:tr w:rsidR="00F95654" w14:paraId="62724C4F" w14:textId="77777777" w:rsidTr="002A61C8">
        <w:trPr>
          <w:trHeight w:val="195"/>
        </w:trPr>
        <w:tc>
          <w:tcPr>
            <w:tcW w:w="704" w:type="dxa"/>
            <w:tcBorders>
              <w:top w:val="nil"/>
              <w:left w:val="single" w:sz="4" w:space="0" w:color="FF0000"/>
              <w:bottom w:val="single" w:sz="4" w:space="0" w:color="FF0000"/>
              <w:right w:val="single" w:sz="4" w:space="0" w:color="FF0000"/>
            </w:tcBorders>
            <w:shd w:val="clear" w:color="auto" w:fill="FFFFFF"/>
            <w:noWrap/>
            <w:vAlign w:val="bottom"/>
            <w:hideMark/>
          </w:tcPr>
          <w:p w14:paraId="16490610" w14:textId="77777777" w:rsidR="00F95654" w:rsidRDefault="00F95654">
            <w:pPr>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9</w:t>
            </w:r>
          </w:p>
        </w:tc>
        <w:tc>
          <w:tcPr>
            <w:tcW w:w="1421" w:type="dxa"/>
            <w:tcBorders>
              <w:top w:val="nil"/>
              <w:left w:val="nil"/>
              <w:bottom w:val="single" w:sz="4" w:space="0" w:color="FF0000"/>
              <w:right w:val="single" w:sz="4" w:space="0" w:color="FF0000"/>
            </w:tcBorders>
            <w:shd w:val="clear" w:color="auto" w:fill="FFFFFF"/>
            <w:noWrap/>
            <w:vAlign w:val="bottom"/>
            <w:hideMark/>
          </w:tcPr>
          <w:p w14:paraId="0A7A45A5"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$739</w:t>
            </w:r>
          </w:p>
        </w:tc>
        <w:tc>
          <w:tcPr>
            <w:tcW w:w="1417" w:type="dxa"/>
            <w:tcBorders>
              <w:top w:val="nil"/>
              <w:left w:val="nil"/>
              <w:bottom w:val="single" w:sz="4" w:space="0" w:color="FF0000"/>
              <w:right w:val="single" w:sz="4" w:space="0" w:color="FF0000"/>
            </w:tcBorders>
            <w:shd w:val="clear" w:color="auto" w:fill="FFFFFF"/>
            <w:noWrap/>
            <w:vAlign w:val="bottom"/>
            <w:hideMark/>
          </w:tcPr>
          <w:p w14:paraId="0FCE7667"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$796</w:t>
            </w:r>
          </w:p>
        </w:tc>
        <w:tc>
          <w:tcPr>
            <w:tcW w:w="1556" w:type="dxa"/>
            <w:tcBorders>
              <w:top w:val="nil"/>
              <w:left w:val="nil"/>
              <w:bottom w:val="single" w:sz="4" w:space="0" w:color="FF0000"/>
              <w:right w:val="single" w:sz="4" w:space="0" w:color="FF0000"/>
            </w:tcBorders>
            <w:shd w:val="clear" w:color="auto" w:fill="FFFFFF"/>
            <w:noWrap/>
            <w:vAlign w:val="bottom"/>
            <w:hideMark/>
          </w:tcPr>
          <w:p w14:paraId="7EA10E61"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$767.50</w:t>
            </w:r>
          </w:p>
        </w:tc>
        <w:tc>
          <w:tcPr>
            <w:tcW w:w="1560" w:type="dxa"/>
            <w:tcBorders>
              <w:top w:val="nil"/>
              <w:left w:val="nil"/>
              <w:bottom w:val="single" w:sz="4" w:space="0" w:color="FF0000"/>
              <w:right w:val="single" w:sz="4" w:space="0" w:color="FF0000"/>
            </w:tcBorders>
            <w:shd w:val="clear" w:color="auto" w:fill="FFFFFF"/>
            <w:noWrap/>
            <w:vAlign w:val="bottom"/>
            <w:hideMark/>
          </w:tcPr>
          <w:p w14:paraId="03B18B97"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$3,837.50</w:t>
            </w:r>
          </w:p>
        </w:tc>
        <w:tc>
          <w:tcPr>
            <w:tcW w:w="1559" w:type="dxa"/>
            <w:tcBorders>
              <w:top w:val="nil"/>
              <w:left w:val="nil"/>
              <w:bottom w:val="single" w:sz="4" w:space="0" w:color="FF0000"/>
              <w:right w:val="single" w:sz="4" w:space="0" w:color="FF0000"/>
            </w:tcBorders>
            <w:shd w:val="clear" w:color="auto" w:fill="FFFFFF"/>
            <w:noWrap/>
            <w:vAlign w:val="bottom"/>
            <w:hideMark/>
          </w:tcPr>
          <w:p w14:paraId="4D44C625"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$2,686.25</w:t>
            </w:r>
          </w:p>
        </w:tc>
      </w:tr>
      <w:tr w:rsidR="00F95654" w14:paraId="1C526877" w14:textId="77777777" w:rsidTr="002A61C8">
        <w:trPr>
          <w:trHeight w:val="228"/>
        </w:trPr>
        <w:tc>
          <w:tcPr>
            <w:tcW w:w="704" w:type="dxa"/>
            <w:tcBorders>
              <w:top w:val="nil"/>
              <w:left w:val="single" w:sz="4" w:space="0" w:color="FF0000"/>
              <w:bottom w:val="single" w:sz="4" w:space="0" w:color="FF0000"/>
              <w:right w:val="single" w:sz="4" w:space="0" w:color="FF0000"/>
            </w:tcBorders>
            <w:shd w:val="clear" w:color="auto" w:fill="F2F2F2"/>
            <w:noWrap/>
            <w:vAlign w:val="bottom"/>
            <w:hideMark/>
          </w:tcPr>
          <w:p w14:paraId="55E66EDB" w14:textId="77777777" w:rsidR="00F95654" w:rsidRDefault="00F95654">
            <w:pPr>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10</w:t>
            </w:r>
          </w:p>
        </w:tc>
        <w:tc>
          <w:tcPr>
            <w:tcW w:w="1421" w:type="dxa"/>
            <w:tcBorders>
              <w:top w:val="nil"/>
              <w:left w:val="nil"/>
              <w:bottom w:val="single" w:sz="4" w:space="0" w:color="FF0000"/>
              <w:right w:val="single" w:sz="4" w:space="0" w:color="FF0000"/>
            </w:tcBorders>
            <w:shd w:val="clear" w:color="auto" w:fill="F2F2F2"/>
            <w:noWrap/>
            <w:vAlign w:val="bottom"/>
            <w:hideMark/>
          </w:tcPr>
          <w:p w14:paraId="0437A094"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$797</w:t>
            </w:r>
          </w:p>
        </w:tc>
        <w:tc>
          <w:tcPr>
            <w:tcW w:w="1417" w:type="dxa"/>
            <w:tcBorders>
              <w:top w:val="nil"/>
              <w:left w:val="nil"/>
              <w:bottom w:val="single" w:sz="4" w:space="0" w:color="FF0000"/>
              <w:right w:val="single" w:sz="4" w:space="0" w:color="FF0000"/>
            </w:tcBorders>
            <w:shd w:val="clear" w:color="auto" w:fill="F2F2F2"/>
            <w:noWrap/>
            <w:vAlign w:val="bottom"/>
            <w:hideMark/>
          </w:tcPr>
          <w:p w14:paraId="6517F926"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$840</w:t>
            </w:r>
          </w:p>
        </w:tc>
        <w:tc>
          <w:tcPr>
            <w:tcW w:w="1556" w:type="dxa"/>
            <w:tcBorders>
              <w:top w:val="nil"/>
              <w:left w:val="nil"/>
              <w:bottom w:val="single" w:sz="4" w:space="0" w:color="FF0000"/>
              <w:right w:val="single" w:sz="4" w:space="0" w:color="FF0000"/>
            </w:tcBorders>
            <w:shd w:val="clear" w:color="auto" w:fill="F2F2F2"/>
            <w:noWrap/>
            <w:vAlign w:val="bottom"/>
            <w:hideMark/>
          </w:tcPr>
          <w:p w14:paraId="63BE0729"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$818.50</w:t>
            </w:r>
          </w:p>
        </w:tc>
        <w:tc>
          <w:tcPr>
            <w:tcW w:w="1560" w:type="dxa"/>
            <w:tcBorders>
              <w:top w:val="nil"/>
              <w:left w:val="nil"/>
              <w:bottom w:val="single" w:sz="4" w:space="0" w:color="FF0000"/>
              <w:right w:val="single" w:sz="4" w:space="0" w:color="FF0000"/>
            </w:tcBorders>
            <w:shd w:val="clear" w:color="auto" w:fill="F2F2F2"/>
            <w:noWrap/>
            <w:vAlign w:val="bottom"/>
            <w:hideMark/>
          </w:tcPr>
          <w:p w14:paraId="0C25A05E"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$4,092.50</w:t>
            </w:r>
          </w:p>
        </w:tc>
        <w:tc>
          <w:tcPr>
            <w:tcW w:w="1559" w:type="dxa"/>
            <w:tcBorders>
              <w:top w:val="nil"/>
              <w:left w:val="nil"/>
              <w:bottom w:val="single" w:sz="4" w:space="0" w:color="FF0000"/>
              <w:right w:val="single" w:sz="4" w:space="0" w:color="FF0000"/>
            </w:tcBorders>
            <w:shd w:val="clear" w:color="auto" w:fill="F2F2F2"/>
            <w:noWrap/>
            <w:vAlign w:val="bottom"/>
            <w:hideMark/>
          </w:tcPr>
          <w:p w14:paraId="1A85DBEA" w14:textId="77777777" w:rsidR="00F95654" w:rsidRDefault="00F95654">
            <w:pPr>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$2,864.75</w:t>
            </w:r>
          </w:p>
        </w:tc>
      </w:tr>
    </w:tbl>
    <w:p w14:paraId="207E6982" w14:textId="77777777" w:rsidR="00F95654" w:rsidRDefault="00F95654" w:rsidP="00F95654">
      <w:pPr>
        <w:rPr>
          <w:rFonts w:ascii="Arial" w:hAnsi="Arial"/>
          <w:sz w:val="20"/>
        </w:rPr>
      </w:pPr>
    </w:p>
    <w:p w14:paraId="192B54C9" w14:textId="77777777" w:rsidR="002A61C8" w:rsidRDefault="00F95654" w:rsidP="00F95654">
      <w:pPr>
        <w:rPr>
          <w:rFonts w:ascii="Arial" w:hAnsi="Arial"/>
          <w:b/>
          <w:bCs/>
          <w:color w:val="2F5496" w:themeColor="accent1" w:themeShade="BF"/>
          <w:sz w:val="24"/>
          <w:szCs w:val="28"/>
        </w:rPr>
      </w:pPr>
      <w:r>
        <w:rPr>
          <w:rFonts w:ascii="Arial" w:hAnsi="Arial"/>
          <w:b/>
          <w:bCs/>
          <w:color w:val="2F5496" w:themeColor="accent1" w:themeShade="BF"/>
          <w:sz w:val="24"/>
          <w:szCs w:val="28"/>
        </w:rPr>
        <w:t xml:space="preserve">Business </w:t>
      </w:r>
      <w:r w:rsidR="002A61C8">
        <w:rPr>
          <w:rFonts w:ascii="Arial" w:hAnsi="Arial"/>
          <w:b/>
          <w:bCs/>
          <w:color w:val="2F5496" w:themeColor="accent1" w:themeShade="BF"/>
          <w:sz w:val="24"/>
          <w:szCs w:val="28"/>
        </w:rPr>
        <w:t>P</w:t>
      </w:r>
      <w:r>
        <w:rPr>
          <w:rFonts w:ascii="Arial" w:hAnsi="Arial"/>
          <w:b/>
          <w:bCs/>
          <w:color w:val="2F5496" w:themeColor="accent1" w:themeShade="BF"/>
          <w:sz w:val="24"/>
          <w:szCs w:val="28"/>
        </w:rPr>
        <w:t xml:space="preserve">arklet </w:t>
      </w:r>
      <w:r w:rsidR="002A61C8">
        <w:rPr>
          <w:rFonts w:ascii="Arial" w:hAnsi="Arial"/>
          <w:b/>
          <w:bCs/>
          <w:color w:val="2F5496" w:themeColor="accent1" w:themeShade="BF"/>
          <w:sz w:val="24"/>
          <w:szCs w:val="28"/>
        </w:rPr>
        <w:t>Fees Policy</w:t>
      </w:r>
    </w:p>
    <w:p w14:paraId="3B45406C" w14:textId="77777777" w:rsidR="00844A1C" w:rsidRDefault="00844A1C" w:rsidP="00F95654">
      <w:pPr>
        <w:rPr>
          <w:rFonts w:ascii="Arial" w:hAnsi="Arial"/>
          <w:sz w:val="20"/>
        </w:rPr>
      </w:pPr>
    </w:p>
    <w:p w14:paraId="16F2A5A0" w14:textId="4816411D" w:rsidR="002A61C8" w:rsidRDefault="002A61C8" w:rsidP="4708566A">
      <w:pPr>
        <w:rPr>
          <w:rFonts w:ascii="Arial" w:hAnsi="Arial"/>
          <w:sz w:val="20"/>
          <w:szCs w:val="20"/>
        </w:rPr>
      </w:pPr>
      <w:r w:rsidRPr="4708566A">
        <w:rPr>
          <w:rFonts w:ascii="Arial" w:hAnsi="Arial"/>
          <w:sz w:val="20"/>
          <w:szCs w:val="20"/>
        </w:rPr>
        <w:t>Council will consider a Business Parklet Fee Policy, including incentives and measures to support business recovery and vibrancy.</w:t>
      </w:r>
    </w:p>
    <w:p w14:paraId="0699A0C1" w14:textId="77777777" w:rsidR="00F95654" w:rsidRDefault="00F95654" w:rsidP="00F95654">
      <w:pPr>
        <w:rPr>
          <w:rFonts w:ascii="Arial" w:hAnsi="Arial"/>
          <w:sz w:val="20"/>
        </w:rPr>
      </w:pPr>
    </w:p>
    <w:p w14:paraId="11CFEF67" w14:textId="77777777" w:rsidR="00B13D47" w:rsidRDefault="00B13D47"/>
    <w:sectPr w:rsidR="00B13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A37C1"/>
    <w:multiLevelType w:val="hybridMultilevel"/>
    <w:tmpl w:val="6E82F3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5F30B57"/>
    <w:multiLevelType w:val="hybridMultilevel"/>
    <w:tmpl w:val="66EA7D3C"/>
    <w:lvl w:ilvl="0" w:tplc="0AEA3026">
      <w:start w:val="1"/>
      <w:numFmt w:val="bullet"/>
      <w:lvlText w:val="•"/>
      <w:lvlJc w:val="left"/>
      <w:pPr>
        <w:tabs>
          <w:tab w:val="num" w:pos="720"/>
        </w:tabs>
        <w:ind w:left="720" w:hanging="360"/>
      </w:pPr>
      <w:rPr>
        <w:rFonts w:ascii="Arial" w:hAnsi="Arial" w:cs="Times New Roman" w:hint="default"/>
      </w:rPr>
    </w:lvl>
    <w:lvl w:ilvl="1" w:tplc="8B968D8E">
      <w:start w:val="1"/>
      <w:numFmt w:val="bullet"/>
      <w:lvlText w:val="•"/>
      <w:lvlJc w:val="left"/>
      <w:pPr>
        <w:tabs>
          <w:tab w:val="num" w:pos="1440"/>
        </w:tabs>
        <w:ind w:left="1440" w:hanging="360"/>
      </w:pPr>
      <w:rPr>
        <w:rFonts w:ascii="Arial" w:hAnsi="Arial" w:cs="Times New Roman" w:hint="default"/>
      </w:rPr>
    </w:lvl>
    <w:lvl w:ilvl="2" w:tplc="FCE2125C">
      <w:start w:val="1"/>
      <w:numFmt w:val="bullet"/>
      <w:lvlText w:val="•"/>
      <w:lvlJc w:val="left"/>
      <w:pPr>
        <w:tabs>
          <w:tab w:val="num" w:pos="2160"/>
        </w:tabs>
        <w:ind w:left="2160" w:hanging="360"/>
      </w:pPr>
      <w:rPr>
        <w:rFonts w:ascii="Arial" w:hAnsi="Arial" w:cs="Times New Roman" w:hint="default"/>
      </w:rPr>
    </w:lvl>
    <w:lvl w:ilvl="3" w:tplc="B7B2B0AE">
      <w:start w:val="1"/>
      <w:numFmt w:val="bullet"/>
      <w:lvlText w:val="•"/>
      <w:lvlJc w:val="left"/>
      <w:pPr>
        <w:tabs>
          <w:tab w:val="num" w:pos="2880"/>
        </w:tabs>
        <w:ind w:left="2880" w:hanging="360"/>
      </w:pPr>
      <w:rPr>
        <w:rFonts w:ascii="Arial" w:hAnsi="Arial" w:cs="Times New Roman" w:hint="default"/>
      </w:rPr>
    </w:lvl>
    <w:lvl w:ilvl="4" w:tplc="A20C342E">
      <w:start w:val="1"/>
      <w:numFmt w:val="bullet"/>
      <w:lvlText w:val="•"/>
      <w:lvlJc w:val="left"/>
      <w:pPr>
        <w:tabs>
          <w:tab w:val="num" w:pos="3600"/>
        </w:tabs>
        <w:ind w:left="3600" w:hanging="360"/>
      </w:pPr>
      <w:rPr>
        <w:rFonts w:ascii="Arial" w:hAnsi="Arial" w:cs="Times New Roman" w:hint="default"/>
      </w:rPr>
    </w:lvl>
    <w:lvl w:ilvl="5" w:tplc="4768ED84">
      <w:start w:val="1"/>
      <w:numFmt w:val="bullet"/>
      <w:lvlText w:val="•"/>
      <w:lvlJc w:val="left"/>
      <w:pPr>
        <w:tabs>
          <w:tab w:val="num" w:pos="4320"/>
        </w:tabs>
        <w:ind w:left="4320" w:hanging="360"/>
      </w:pPr>
      <w:rPr>
        <w:rFonts w:ascii="Arial" w:hAnsi="Arial" w:cs="Times New Roman" w:hint="default"/>
      </w:rPr>
    </w:lvl>
    <w:lvl w:ilvl="6" w:tplc="877ACE36">
      <w:start w:val="1"/>
      <w:numFmt w:val="bullet"/>
      <w:lvlText w:val="•"/>
      <w:lvlJc w:val="left"/>
      <w:pPr>
        <w:tabs>
          <w:tab w:val="num" w:pos="5040"/>
        </w:tabs>
        <w:ind w:left="5040" w:hanging="360"/>
      </w:pPr>
      <w:rPr>
        <w:rFonts w:ascii="Arial" w:hAnsi="Arial" w:cs="Times New Roman" w:hint="default"/>
      </w:rPr>
    </w:lvl>
    <w:lvl w:ilvl="7" w:tplc="9642C9BE">
      <w:start w:val="1"/>
      <w:numFmt w:val="bullet"/>
      <w:lvlText w:val="•"/>
      <w:lvlJc w:val="left"/>
      <w:pPr>
        <w:tabs>
          <w:tab w:val="num" w:pos="5760"/>
        </w:tabs>
        <w:ind w:left="5760" w:hanging="360"/>
      </w:pPr>
      <w:rPr>
        <w:rFonts w:ascii="Arial" w:hAnsi="Arial" w:cs="Times New Roman" w:hint="default"/>
      </w:rPr>
    </w:lvl>
    <w:lvl w:ilvl="8" w:tplc="181A1D50">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3D970EBB"/>
    <w:multiLevelType w:val="hybridMultilevel"/>
    <w:tmpl w:val="9DA2C3F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52512160"/>
    <w:multiLevelType w:val="hybridMultilevel"/>
    <w:tmpl w:val="4FC4760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6A841308"/>
    <w:multiLevelType w:val="hybridMultilevel"/>
    <w:tmpl w:val="17CC4AC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654"/>
    <w:rsid w:val="00144153"/>
    <w:rsid w:val="0020682F"/>
    <w:rsid w:val="002244F4"/>
    <w:rsid w:val="002A61C8"/>
    <w:rsid w:val="0036178F"/>
    <w:rsid w:val="00383327"/>
    <w:rsid w:val="003C0C9E"/>
    <w:rsid w:val="003D02D4"/>
    <w:rsid w:val="00522295"/>
    <w:rsid w:val="0054688D"/>
    <w:rsid w:val="006000C1"/>
    <w:rsid w:val="00760202"/>
    <w:rsid w:val="00844A1C"/>
    <w:rsid w:val="009D2881"/>
    <w:rsid w:val="009E1781"/>
    <w:rsid w:val="009F32EA"/>
    <w:rsid w:val="00B13D47"/>
    <w:rsid w:val="00B535CC"/>
    <w:rsid w:val="00B56C6B"/>
    <w:rsid w:val="00B56ED2"/>
    <w:rsid w:val="00C17183"/>
    <w:rsid w:val="00C94C94"/>
    <w:rsid w:val="00CD10D6"/>
    <w:rsid w:val="00D20A50"/>
    <w:rsid w:val="00D42B40"/>
    <w:rsid w:val="00D47D19"/>
    <w:rsid w:val="00DE3A2C"/>
    <w:rsid w:val="00F77540"/>
    <w:rsid w:val="00F95654"/>
    <w:rsid w:val="05DE1FEE"/>
    <w:rsid w:val="094FCB24"/>
    <w:rsid w:val="0A9536EE"/>
    <w:rsid w:val="0EEF915E"/>
    <w:rsid w:val="0F11A265"/>
    <w:rsid w:val="10375A0D"/>
    <w:rsid w:val="104F864B"/>
    <w:rsid w:val="123E2E73"/>
    <w:rsid w:val="14EE7208"/>
    <w:rsid w:val="18E3EE96"/>
    <w:rsid w:val="1D7235F9"/>
    <w:rsid w:val="2555DA02"/>
    <w:rsid w:val="30975DB9"/>
    <w:rsid w:val="33897014"/>
    <w:rsid w:val="3840880F"/>
    <w:rsid w:val="386D8591"/>
    <w:rsid w:val="3B329A6A"/>
    <w:rsid w:val="3DC8220B"/>
    <w:rsid w:val="3DDFB5D6"/>
    <w:rsid w:val="40C44C00"/>
    <w:rsid w:val="4143BCA2"/>
    <w:rsid w:val="4708566A"/>
    <w:rsid w:val="48A7F009"/>
    <w:rsid w:val="4E4A45F9"/>
    <w:rsid w:val="53E973C0"/>
    <w:rsid w:val="59B8C732"/>
    <w:rsid w:val="5B929E16"/>
    <w:rsid w:val="5DAE43C0"/>
    <w:rsid w:val="608B84D7"/>
    <w:rsid w:val="618BC6E1"/>
    <w:rsid w:val="6EEC186B"/>
    <w:rsid w:val="7591D88E"/>
    <w:rsid w:val="75A6A9D2"/>
    <w:rsid w:val="7D0ADD39"/>
    <w:rsid w:val="7EE4B41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0CAA"/>
  <w15:chartTrackingRefBased/>
  <w15:docId w15:val="{9CA248A6-66C3-4CAF-A66B-F051E9B3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6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6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5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4B9E715E20C499EC588A75C34CE17" ma:contentTypeVersion="14" ma:contentTypeDescription="Create a new document." ma:contentTypeScope="" ma:versionID="8c809b12cee70ccc2a6f0f4540f2dd16">
  <xsd:schema xmlns:xsd="http://www.w3.org/2001/XMLSchema" xmlns:xs="http://www.w3.org/2001/XMLSchema" xmlns:p="http://schemas.microsoft.com/office/2006/metadata/properties" xmlns:ns3="9555f7ec-8fa3-41e8-bd87-f4e60b09b203" xmlns:ns4="f81949ce-3b1a-45cb-97aa-d4b317c28cc3" targetNamespace="http://schemas.microsoft.com/office/2006/metadata/properties" ma:root="true" ma:fieldsID="05f711139c4088973dfb3bfd805c0c76" ns3:_="" ns4:_="">
    <xsd:import namespace="9555f7ec-8fa3-41e8-bd87-f4e60b09b203"/>
    <xsd:import namespace="f81949ce-3b1a-45cb-97aa-d4b317c28c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5f7ec-8fa3-41e8-bd87-f4e60b09b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1949ce-3b1a-45cb-97aa-d4b317c28c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75050E-EC59-420C-9BE5-BBEF5A9CE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5f7ec-8fa3-41e8-bd87-f4e60b09b203"/>
    <ds:schemaRef ds:uri="f81949ce-3b1a-45cb-97aa-d4b317c28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C1F54-C26D-4C74-9588-1CD11902F548}">
  <ds:schemaRefs>
    <ds:schemaRef ds:uri="http://schemas.microsoft.com/sharepoint/v3/contenttype/forms"/>
  </ds:schemaRefs>
</ds:datastoreItem>
</file>

<file path=customXml/itemProps3.xml><?xml version="1.0" encoding="utf-8"?>
<ds:datastoreItem xmlns:ds="http://schemas.openxmlformats.org/officeDocument/2006/customXml" ds:itemID="{D9F0777F-E081-4F31-A9B1-6A70B9AA31F6}">
  <ds:schemaRefs>
    <ds:schemaRef ds:uri="f81949ce-3b1a-45cb-97aa-d4b317c28cc3"/>
    <ds:schemaRef ds:uri="http://purl.org/dc/elements/1.1/"/>
    <ds:schemaRef ds:uri="http://schemas.microsoft.com/office/infopath/2007/PartnerControls"/>
    <ds:schemaRef ds:uri="http://purl.org/dc/terms/"/>
    <ds:schemaRef ds:uri="http://schemas.openxmlformats.org/package/2006/metadata/core-properties"/>
    <ds:schemaRef ds:uri="9555f7ec-8fa3-41e8-bd87-f4e60b09b203"/>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706</Words>
  <Characters>3728</Characters>
  <Application>Microsoft Office Word</Application>
  <DocSecurity>0</DocSecurity>
  <Lines>177</Lines>
  <Paragraphs>119</Paragraphs>
  <ScaleCrop>false</ScaleCrop>
  <Company>City of Port Phillip</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Jay</dc:creator>
  <cp:keywords/>
  <dc:description/>
  <cp:lastModifiedBy>Carol Tu</cp:lastModifiedBy>
  <cp:revision>2</cp:revision>
  <dcterms:created xsi:type="dcterms:W3CDTF">2022-04-30T00:52:00Z</dcterms:created>
  <dcterms:modified xsi:type="dcterms:W3CDTF">2022-04-30T00:52:00Z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0x010100D644B9E715E20C499EC588A75C34CE17</vt:lpwstr>
  </property>
</Properties>
</file>